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200"/>
        <w:jc w:val="both"/>
        <w:rPr>
          <w:rFonts w:ascii="Roboto" w:hAnsi="Roboto" w:eastAsia="Roboto" w:cs="Roboto"/>
        </w:rPr>
      </w:pPr>
      <w:r>
        <w:rPr>
          <w:rFonts w:eastAsia="Roboto" w:cs="Roboto" w:ascii="Roboto" w:hAnsi="Roboto"/>
        </w:rPr>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Roboto" w:hAnsi="Roboto"/>
        </w:rPr>
        <w:t xml:space="preserve">La matinada del passat dissabte 3 de juliol, Samuel, un jove gai de A Corunya, va rebre una pallissa mortal per part d'un grup de 13 homes al crit de “maricón de mierda!”, tal com relaten les persones que li acompanyaven aquesta nit. </w:t>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Roboto" w:hAnsi="Roboto"/>
        </w:rPr>
        <w:t>En els últims mesos estem sent testimonis de com l'</w:t>
      </w:r>
      <w:r>
        <w:rPr>
          <w:rFonts w:eastAsia="Roboto" w:cs="Roboto" w:ascii="Roboto" w:hAnsi="Roboto"/>
          <w:b/>
        </w:rPr>
        <w:t xml:space="preserve">auge de la ultradreta i la legitimació dels discursos d'odi </w:t>
      </w:r>
      <w:r>
        <w:rPr>
          <w:rFonts w:eastAsia="Roboto" w:cs="Roboto" w:ascii="Roboto" w:hAnsi="Roboto"/>
        </w:rPr>
        <w:t>comporten un alarmant augment de les agressions LGTBIfòbiques al nostre país.</w:t>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Roboto" w:hAnsi="Roboto"/>
        </w:rPr>
        <w:t xml:space="preserve">Tal com revela l'Informe de </w:t>
      </w:r>
      <w:r>
        <w:rPr>
          <w:rFonts w:eastAsia="Roboto" w:cs="Roboto" w:ascii="Roboto" w:hAnsi="Roboto"/>
          <w:b/>
        </w:rPr>
        <w:t>delictes d'odi</w:t>
      </w:r>
      <w:r>
        <w:rPr>
          <w:rFonts w:eastAsia="Roboto" w:cs="Roboto" w:ascii="Roboto" w:hAnsi="Roboto"/>
        </w:rPr>
        <w:t xml:space="preserve"> de 2019 de la FELGTB, estaríem parlant que més de la meitat (55%) que es cometen contra el col·lectiu LGTBI no es denuncien. A més, dels 756 delictes que van arribar a coneixement de FELGTB en 2019, només un 15% va denunciar a la policia i únicament un 3% es va posar en coneixement de la fiscalia. </w:t>
      </w:r>
    </w:p>
    <w:p>
      <w:pPr>
        <w:pStyle w:val="Normal"/>
        <w:tabs>
          <w:tab w:val="clear" w:pos="720"/>
          <w:tab w:val="left" w:pos="1380" w:leader="none"/>
        </w:tabs>
        <w:spacing w:lineRule="auto" w:line="259" w:before="0" w:after="160"/>
        <w:jc w:val="both"/>
        <w:rPr>
          <w:rFonts w:ascii="Roboto" w:hAnsi="Roboto" w:eastAsia="Roboto" w:cs="Roboto"/>
          <w:highlight w:val="yellow"/>
        </w:rPr>
      </w:pPr>
      <w:r>
        <w:rPr>
          <w:rFonts w:eastAsia="Roboto" w:cs="Roboto" w:ascii="Roboto" w:hAnsi="Roboto"/>
        </w:rPr>
        <w:t>L'assassinat de Samuel i la resta de les violències i agressions que sofreix el col·lectiu posen de manifest que l'odi i la LGTBIfòbia continuen sent la realitat quotidiana per al col·lectiu. Tot això ocorre en un context social en el qual els discursos d'odi que assenyalen a les persones LGTBI+ augmenten i acusen les entitats d'adoctrinar.</w:t>
      </w:r>
    </w:p>
    <w:p>
      <w:pPr>
        <w:pStyle w:val="Normal"/>
        <w:spacing w:lineRule="auto" w:line="240" w:before="0" w:after="200"/>
        <w:jc w:val="both"/>
        <w:rPr>
          <w:rFonts w:ascii="Roboto" w:hAnsi="Roboto" w:eastAsia="Roboto" w:cs="Roboto"/>
        </w:rPr>
      </w:pPr>
      <w:r>
        <w:rPr>
          <w:rFonts w:eastAsia="Roboto" w:cs="Roboto" w:ascii="Roboto" w:hAnsi="Roboto"/>
        </w:rPr>
        <w:t xml:space="preserve">Un dels grans col·lectius afectats és l'adolescència i joventut. Encara resulta extremadament difícil per a les i els adolescents LGTBI una acceptació sense condicions o suport per part de les seves famílies o grups d'iguals pels seus sentiments o identitat. No succeeix tant a Palma, però sí en les zones més rurals de les Illes. El fet que el nostre </w:t>
      </w:r>
      <w:r>
        <w:rPr>
          <w:rFonts w:eastAsia="Roboto" w:cs="Roboto" w:ascii="Roboto" w:hAnsi="Roboto"/>
          <w:b/>
        </w:rPr>
        <w:t xml:space="preserve">territori sigui insular </w:t>
      </w:r>
      <w:r>
        <w:rPr>
          <w:rFonts w:eastAsia="Roboto" w:cs="Roboto" w:ascii="Roboto" w:hAnsi="Roboto"/>
        </w:rPr>
        <w:t>també condiciona la visibilitat a molts dels joves, atès que en un espai com el nostre hi ha moltes i molts adolescents que segueixen en l'armari. Es continuen rebent casos de joves que han de plantejar anar-se'n de les seves cases per la no acceptació dels seus familiars. Segons les dades de l'Informe sobre incidents relacionats amb els delictes d'odi a Espanya del 2019, publicat pel Ministeri de l'Interior, s'assenyala que uns dels àmbits que va sumant nombre de delictes registrat ha estat el d'orientació sexual i identitat de gènere, amb un percentatge del 8,6% de la totalitat. Quant a xifres totals, el nombre de delictes registrats per orientació sexual i identitat de gènere és de 278, significant això no només una agressió a una persona, sinó la vulneració de tot un col·lectiu. No obstant això, únicament es registren el 20% dels casos de discriminació per orientació sexual i/o identitat de gènere, sent aquesta una de les principals causes d'agressió en la via pública.</w:t>
      </w:r>
    </w:p>
    <w:p>
      <w:pPr>
        <w:pStyle w:val="Normal"/>
        <w:spacing w:lineRule="auto" w:line="240" w:before="0" w:after="200"/>
        <w:jc w:val="both"/>
        <w:rPr>
          <w:rFonts w:ascii="Roboto" w:hAnsi="Roboto" w:eastAsia="Roboto" w:cs="Roboto"/>
        </w:rPr>
      </w:pPr>
      <w:r>
        <w:rPr>
          <w:rFonts w:eastAsia="Roboto" w:cs="Roboto" w:ascii="Roboto" w:hAnsi="Roboto"/>
        </w:rPr>
        <w:t xml:space="preserve">Són múltiples les </w:t>
      </w:r>
      <w:r>
        <w:rPr>
          <w:rFonts w:eastAsia="Roboto" w:cs="Roboto" w:ascii="Roboto" w:hAnsi="Roboto"/>
          <w:b/>
        </w:rPr>
        <w:t xml:space="preserve">barreres </w:t>
      </w:r>
      <w:r>
        <w:rPr>
          <w:rFonts w:eastAsia="Roboto" w:cs="Roboto" w:ascii="Roboto" w:hAnsi="Roboto"/>
        </w:rPr>
        <w:t xml:space="preserve">que estan impedint un adequat accés als canals de denúncia davant situacions de vulneració de drets, però podem extreure de la nostra experiència com a entitat alguns dels </w:t>
      </w:r>
      <w:r>
        <w:rPr>
          <w:rFonts w:eastAsia="Roboto" w:cs="Roboto" w:ascii="Roboto" w:hAnsi="Roboto"/>
          <w:b/>
        </w:rPr>
        <w:t>principals motius</w:t>
      </w:r>
      <w:r>
        <w:rPr>
          <w:rFonts w:eastAsia="Roboto" w:cs="Roboto" w:ascii="Roboto" w:hAnsi="Roboto"/>
        </w:rPr>
        <w:t xml:space="preserve">: </w:t>
      </w:r>
    </w:p>
    <w:p>
      <w:pPr>
        <w:pStyle w:val="Normal"/>
        <w:numPr>
          <w:ilvl w:val="0"/>
          <w:numId w:val="3"/>
        </w:numPr>
        <w:spacing w:lineRule="auto" w:line="240" w:before="0" w:afterAutospacing="0" w:after="0"/>
        <w:ind w:left="720" w:hanging="360"/>
        <w:jc w:val="both"/>
        <w:rPr>
          <w:rFonts w:ascii="Roboto" w:hAnsi="Roboto" w:eastAsia="Roboto" w:cs="Roboto"/>
        </w:rPr>
      </w:pPr>
      <w:r>
        <w:rPr>
          <w:rFonts w:eastAsia="Roboto" w:cs="Roboto" w:ascii="Roboto" w:hAnsi="Roboto"/>
        </w:rPr>
        <w:t xml:space="preserve">El desconeixement dels mateixos canals de denúncia en el moment que sofreixen una agressió per LGTBIfòbia. </w:t>
      </w:r>
    </w:p>
    <w:p>
      <w:pPr>
        <w:pStyle w:val="Normal"/>
        <w:numPr>
          <w:ilvl w:val="0"/>
          <w:numId w:val="4"/>
        </w:numPr>
        <w:spacing w:lineRule="auto" w:line="240" w:before="0" w:afterAutospacing="0" w:after="0"/>
        <w:ind w:left="720" w:hanging="360"/>
        <w:jc w:val="both"/>
        <w:rPr>
          <w:rFonts w:ascii="Roboto" w:hAnsi="Roboto" w:eastAsia="Roboto" w:cs="Roboto"/>
        </w:rPr>
      </w:pPr>
      <w:r>
        <w:rPr>
          <w:rFonts w:eastAsia="Roboto" w:cs="Roboto" w:ascii="Roboto" w:hAnsi="Roboto"/>
        </w:rPr>
        <w:t xml:space="preserve">La desconfiança de les persones LGTBI a una resolució reeixida de les seves denúncies, així com del tracte per part de les forces de seguretat de l'estat. </w:t>
      </w:r>
    </w:p>
    <w:p>
      <w:pPr>
        <w:pStyle w:val="Normal"/>
        <w:numPr>
          <w:ilvl w:val="0"/>
          <w:numId w:val="4"/>
        </w:numPr>
        <w:spacing w:lineRule="auto" w:line="240" w:before="0" w:afterAutospacing="0" w:after="0"/>
        <w:ind w:left="720" w:hanging="360"/>
        <w:jc w:val="both"/>
        <w:rPr>
          <w:rFonts w:ascii="Roboto" w:hAnsi="Roboto" w:eastAsia="Roboto" w:cs="Roboto"/>
        </w:rPr>
      </w:pPr>
      <w:r>
        <w:rPr>
          <w:rFonts w:eastAsia="Roboto" w:cs="Roboto" w:ascii="Roboto" w:hAnsi="Roboto"/>
        </w:rPr>
        <w:t xml:space="preserve">La por i la inseguretat que comporta una sortida de l'armari, ja que interposar una denúncia implica visibilitzar directament l'orientació sexual i/o la identitat de gènere. </w:t>
      </w:r>
    </w:p>
    <w:p>
      <w:pPr>
        <w:pStyle w:val="Normal"/>
        <w:numPr>
          <w:ilvl w:val="0"/>
          <w:numId w:val="4"/>
        </w:numPr>
        <w:spacing w:lineRule="auto" w:line="240" w:before="0" w:after="200"/>
        <w:ind w:left="720" w:hanging="360"/>
        <w:jc w:val="both"/>
        <w:rPr>
          <w:rFonts w:ascii="Roboto" w:hAnsi="Roboto" w:eastAsia="Roboto" w:cs="Roboto"/>
        </w:rPr>
      </w:pPr>
      <w:r>
        <w:rPr>
          <w:rFonts w:eastAsia="Roboto" w:cs="Roboto" w:ascii="Roboto" w:hAnsi="Roboto"/>
        </w:rPr>
        <w:t xml:space="preserve">El desconeixement de drets per part del mateix col·lectiu, que genera una falsa sensació d'indefensió. </w:t>
      </w:r>
    </w:p>
    <w:p>
      <w:pPr>
        <w:pStyle w:val="Normal"/>
        <w:spacing w:lineRule="auto" w:line="240" w:before="0" w:after="200"/>
        <w:jc w:val="both"/>
        <w:rPr>
          <w:rFonts w:ascii="Roboto" w:hAnsi="Roboto" w:eastAsia="Roboto" w:cs="Roboto"/>
        </w:rPr>
      </w:pPr>
      <w:r>
        <w:rPr>
          <w:rFonts w:eastAsia="Roboto" w:cs="Roboto" w:ascii="Roboto" w:hAnsi="Roboto"/>
        </w:rPr>
        <w:t>Les dades de les últimes recerques a nivell estatal ens reporten xifres alarmants especialment en tres àmbits:</w:t>
      </w:r>
    </w:p>
    <w:p>
      <w:pPr>
        <w:pStyle w:val="Normal"/>
        <w:numPr>
          <w:ilvl w:val="0"/>
          <w:numId w:val="2"/>
        </w:numPr>
        <w:spacing w:lineRule="auto" w:line="240" w:before="0" w:afterAutospacing="0" w:after="0"/>
        <w:ind w:left="720" w:hanging="360"/>
        <w:jc w:val="both"/>
        <w:rPr>
          <w:rFonts w:ascii="Roboto" w:hAnsi="Roboto" w:eastAsia="Roboto" w:cs="Roboto"/>
        </w:rPr>
      </w:pPr>
      <w:r>
        <w:rPr>
          <w:rFonts w:eastAsia="Roboto" w:cs="Roboto" w:ascii="Roboto" w:hAnsi="Roboto"/>
        </w:rPr>
        <w:t xml:space="preserve">Assetjament escolar per LGTBIfòbia. </w:t>
      </w:r>
    </w:p>
    <w:p>
      <w:pPr>
        <w:pStyle w:val="Normal"/>
        <w:numPr>
          <w:ilvl w:val="0"/>
          <w:numId w:val="2"/>
        </w:numPr>
        <w:spacing w:lineRule="auto" w:line="240" w:before="0" w:afterAutospacing="0" w:after="0"/>
        <w:ind w:left="720" w:hanging="360"/>
        <w:jc w:val="both"/>
        <w:rPr>
          <w:rFonts w:ascii="Roboto" w:hAnsi="Roboto" w:eastAsia="Roboto" w:cs="Roboto"/>
        </w:rPr>
      </w:pPr>
      <w:r>
        <w:rPr>
          <w:rFonts w:eastAsia="Roboto" w:cs="Roboto" w:ascii="Roboto" w:hAnsi="Roboto"/>
        </w:rPr>
        <w:t xml:space="preserve">Majors dificultats d'accés al mercat laboral per part de les dones trans. </w:t>
      </w:r>
    </w:p>
    <w:p>
      <w:pPr>
        <w:pStyle w:val="Normal"/>
        <w:numPr>
          <w:ilvl w:val="0"/>
          <w:numId w:val="2"/>
        </w:numPr>
        <w:spacing w:lineRule="auto" w:line="240" w:before="0" w:after="200"/>
        <w:ind w:left="720" w:hanging="360"/>
        <w:jc w:val="both"/>
        <w:rPr>
          <w:rFonts w:ascii="Roboto" w:hAnsi="Roboto" w:eastAsia="Roboto" w:cs="Roboto"/>
        </w:rPr>
      </w:pPr>
      <w:r>
        <w:rPr>
          <w:rFonts w:eastAsia="Roboto" w:cs="Roboto" w:ascii="Roboto" w:hAnsi="Roboto"/>
        </w:rPr>
        <w:t xml:space="preserve">Augment dels Delictes d'Odi per LGTBIfòbia. </w:t>
      </w:r>
    </w:p>
    <w:p>
      <w:pPr>
        <w:pStyle w:val="Normal"/>
        <w:spacing w:lineRule="auto" w:line="240" w:before="0" w:after="200"/>
        <w:jc w:val="both"/>
        <w:rPr>
          <w:rFonts w:ascii="Roboto" w:hAnsi="Roboto" w:eastAsia="Roboto" w:cs="Roboto"/>
        </w:rPr>
      </w:pPr>
      <w:r>
        <w:rPr>
          <w:rFonts w:eastAsia="Roboto" w:cs="Roboto" w:ascii="Roboto" w:hAnsi="Roboto"/>
        </w:rPr>
        <w:t>Lligat a això, trobem com també existeix un alt percentatge d’infants víctimes d’</w:t>
      </w:r>
      <w:r>
        <w:rPr>
          <w:rFonts w:eastAsia="Roboto" w:cs="Roboto" w:ascii="Roboto" w:hAnsi="Roboto"/>
          <w:b/>
        </w:rPr>
        <w:t>assetjament escolar i violència</w:t>
      </w:r>
      <w:r>
        <w:rPr>
          <w:rFonts w:eastAsia="Roboto" w:cs="Roboto" w:ascii="Roboto" w:hAnsi="Roboto"/>
        </w:rPr>
        <w:t xml:space="preserve">. Segons les dates de la darrera Memòria de l'Institut per a la Convivència i l'Èxit Escolar (curs 2016-2017) es varen obrir 420 protocols per presumpte assetjament escolar. D’aquests, 51 (12%) han estat relacionats amb ciberassetjament i 127 (30 %) s’han valorat i tractat finalment com a situacions d’assetjament escolar. Com es pot apreciar, els problemes de convivència i assetjament formen part de la realitat més propera d’infants i joves. A aquesta situació hem de sumar-li la situació de desprotecció tant per a infants i joves LGTBI que es troben amb més opcions de viure qualque tipus de situació de vulneració dels seus drets. És important també assenyalar els resultats de l'informe realitzat en el 2015 per l'ONG Save the Children "Jo a això no juc" , on es ressalta que el 3,2% de les víctimes d'assetjament i un 4,2% de les quals han sofert ciberassetjament consideren que han estat víctimes a causa de la seva orientació sexual. </w:t>
      </w:r>
    </w:p>
    <w:p>
      <w:pPr>
        <w:pStyle w:val="Normal"/>
        <w:spacing w:lineRule="auto" w:line="240" w:before="0" w:after="200"/>
        <w:jc w:val="both"/>
        <w:rPr>
          <w:rFonts w:ascii="Roboto" w:hAnsi="Roboto" w:eastAsia="Roboto" w:cs="Roboto"/>
        </w:rPr>
      </w:pPr>
      <w:r>
        <w:rPr>
          <w:rFonts w:eastAsia="Roboto" w:cs="Roboto" w:ascii="Roboto" w:hAnsi="Roboto"/>
        </w:rPr>
        <w:t xml:space="preserve">Aquestes són </w:t>
      </w:r>
      <w:r>
        <w:rPr>
          <w:rFonts w:eastAsia="Roboto" w:cs="Roboto" w:ascii="Roboto" w:hAnsi="Roboto"/>
          <w:b/>
        </w:rPr>
        <w:t>situacions que les persones LGTBI continuen patint diàriament</w:t>
      </w:r>
      <w:r>
        <w:rPr>
          <w:rFonts w:eastAsia="Roboto" w:cs="Roboto" w:ascii="Roboto" w:hAnsi="Roboto"/>
        </w:rPr>
        <w:t xml:space="preserve"> i que generen especialment en les persones afectades un augment d'indicadors com l'estrès, angoixa, solitud, sentiment d'incomprensió, a més d'afectar l'autoconcepte i l'autoestima, augmentant al mateix temps el risc d'ideació suïcida i/o comportaments autolítics. </w:t>
      </w:r>
    </w:p>
    <w:p>
      <w:pPr>
        <w:pStyle w:val="Normal"/>
        <w:rPr>
          <w:rFonts w:ascii="Roboto" w:hAnsi="Roboto" w:eastAsia="Roboto" w:cs="Roboto"/>
        </w:rPr>
      </w:pPr>
      <w:r>
        <w:rPr>
          <w:rFonts w:eastAsia="Roboto" w:cs="Roboto" w:ascii="Roboto" w:hAnsi="Roboto"/>
        </w:rPr>
      </w:r>
    </w:p>
    <w:p>
      <w:pPr>
        <w:pStyle w:val="Normal"/>
        <w:rPr>
          <w:rFonts w:ascii="Roboto" w:hAnsi="Roboto" w:eastAsia="Roboto" w:cs="Roboto"/>
        </w:rPr>
      </w:pPr>
      <w:r>
        <w:rPr>
          <w:rFonts w:eastAsia="Roboto" w:cs="Roboto" w:ascii="Roboto" w:hAnsi="Roboto"/>
        </w:rPr>
        <w:t>Per tot això l’Assemblea General del CJIB acorda:</w:t>
      </w:r>
    </w:p>
    <w:p>
      <w:pPr>
        <w:pStyle w:val="Normal"/>
        <w:rPr>
          <w:rFonts w:ascii="Roboto" w:hAnsi="Roboto" w:eastAsia="Roboto" w:cs="Roboto"/>
        </w:rPr>
      </w:pPr>
      <w:r>
        <w:rPr>
          <w:rFonts w:eastAsia="Roboto" w:cs="Roboto" w:ascii="Roboto" w:hAnsi="Roboto"/>
        </w:rPr>
      </w:r>
    </w:p>
    <w:p>
      <w:pPr>
        <w:pStyle w:val="Normal"/>
        <w:numPr>
          <w:ilvl w:val="0"/>
          <w:numId w:val="1"/>
        </w:numPr>
        <w:ind w:left="720" w:hanging="360"/>
        <w:rPr>
          <w:rFonts w:ascii="Roboto" w:hAnsi="Roboto" w:eastAsia="Roboto" w:cs="Roboto"/>
        </w:rPr>
      </w:pPr>
      <w:r>
        <w:rPr>
          <w:rFonts w:eastAsia="Roboto" w:cs="Roboto" w:ascii="Roboto" w:hAnsi="Roboto"/>
        </w:rPr>
        <w:t>Treballar per a que la societat actuï davant les discriminacions</w:t>
      </w:r>
    </w:p>
    <w:p>
      <w:pPr>
        <w:pStyle w:val="Normal"/>
        <w:numPr>
          <w:ilvl w:val="0"/>
          <w:numId w:val="1"/>
        </w:numPr>
        <w:ind w:left="720" w:hanging="360"/>
        <w:rPr>
          <w:rFonts w:ascii="Roboto" w:hAnsi="Roboto" w:eastAsia="Roboto" w:cs="Roboto"/>
        </w:rPr>
      </w:pPr>
      <w:r>
        <w:rPr>
          <w:rFonts w:eastAsia="Roboto" w:cs="Roboto" w:ascii="Roboto" w:hAnsi="Roboto"/>
        </w:rPr>
        <w:t>Instar a les institucions a aplicar mesures valentes i eficaces per acabar amb la LGTBIfòbia.</w:t>
      </w:r>
    </w:p>
    <w:p>
      <w:pPr>
        <w:pStyle w:val="Normal"/>
        <w:numPr>
          <w:ilvl w:val="0"/>
          <w:numId w:val="1"/>
        </w:numPr>
        <w:ind w:left="720" w:hanging="360"/>
        <w:rPr>
          <w:rFonts w:ascii="Roboto" w:hAnsi="Roboto" w:eastAsia="Roboto" w:cs="Roboto"/>
        </w:rPr>
      </w:pPr>
      <w:r>
        <w:rPr>
          <w:rFonts w:eastAsia="Roboto" w:cs="Roboto" w:ascii="Roboto" w:hAnsi="Roboto"/>
        </w:rPr>
        <w:t xml:space="preserve">Instar a les institucions en l’aplicació de la </w:t>
      </w:r>
      <w:r>
        <w:rPr>
          <w:rFonts w:eastAsia="Trebuchet MS" w:cs="Trebuchet MS" w:ascii="Trebuchet MS" w:hAnsi="Trebuchet MS"/>
          <w:sz w:val="18"/>
          <w:szCs w:val="18"/>
        </w:rPr>
        <w:t>Llei 8/2</w:t>
      </w:r>
      <w:r>
        <w:rPr>
          <w:rFonts w:eastAsia="Roboto" w:cs="Roboto" w:ascii="Roboto" w:hAnsi="Roboto"/>
        </w:rPr>
        <w:t>016, de 30 de maig, per garantir els drets de lesbianes, gais, trans, bisexuals i intersexuals i per erradicar l'LGTBIfòbia</w:t>
      </w:r>
    </w:p>
    <w:p>
      <w:pPr>
        <w:pStyle w:val="Normal"/>
        <w:numPr>
          <w:ilvl w:val="0"/>
          <w:numId w:val="1"/>
        </w:numPr>
        <w:ind w:left="720" w:hanging="360"/>
        <w:rPr>
          <w:rFonts w:ascii="Roboto" w:hAnsi="Roboto" w:eastAsia="Roboto" w:cs="Roboto"/>
          <w:u w:val="none"/>
        </w:rPr>
      </w:pPr>
      <w:r>
        <w:rPr>
          <w:rFonts w:eastAsia="Roboto" w:cs="Roboto" w:ascii="Roboto" w:hAnsi="Roboto"/>
        </w:rPr>
        <w:t>Oferir formació en diversitat afectiva, sexual i de gènere a les entitats membres</w:t>
      </w:r>
    </w:p>
    <w:p>
      <w:pPr>
        <w:pStyle w:val="Normal"/>
        <w:numPr>
          <w:ilvl w:val="0"/>
          <w:numId w:val="1"/>
        </w:numPr>
        <w:ind w:left="720" w:hanging="360"/>
        <w:rPr>
          <w:rFonts w:ascii="Roboto" w:hAnsi="Roboto" w:eastAsia="Roboto" w:cs="Roboto"/>
          <w:u w:val="none"/>
        </w:rPr>
      </w:pPr>
      <w:r>
        <w:rPr>
          <w:rFonts w:eastAsia="Roboto" w:cs="Roboto" w:ascii="Roboto" w:hAnsi="Roboto"/>
        </w:rPr>
        <w:t xml:space="preserve">Instar a Ajuntaments i COnsells a formar en diversitat afectiva, sexual i de gènere a les persones tècniques i treballadores de joventut </w:t>
      </w:r>
    </w:p>
    <w:p>
      <w:pPr>
        <w:pStyle w:val="Normal"/>
        <w:numPr>
          <w:ilvl w:val="0"/>
          <w:numId w:val="1"/>
        </w:numPr>
        <w:ind w:left="720" w:hanging="360"/>
        <w:rPr>
          <w:rFonts w:ascii="Roboto" w:hAnsi="Roboto" w:eastAsia="Roboto" w:cs="Roboto"/>
          <w:u w:val="none"/>
        </w:rPr>
      </w:pPr>
      <w:r>
        <w:rPr>
          <w:rFonts w:eastAsia="Roboto" w:cs="Roboto" w:ascii="Roboto" w:hAnsi="Roboto"/>
        </w:rPr>
        <w:t>Generar diferents campanyes i estratègies de sensibilització</w:t>
      </w:r>
    </w:p>
    <w:p>
      <w:pPr>
        <w:pStyle w:val="Normal"/>
        <w:numPr>
          <w:ilvl w:val="0"/>
          <w:numId w:val="1"/>
        </w:numPr>
        <w:ind w:left="720" w:hanging="360"/>
        <w:rPr>
          <w:rFonts w:ascii="Roboto" w:hAnsi="Roboto" w:eastAsia="Roboto" w:cs="Roboto"/>
          <w:u w:val="none"/>
        </w:rPr>
      </w:pPr>
      <w:r>
        <w:rPr>
          <w:rFonts w:eastAsia="Roboto" w:cs="Roboto" w:ascii="Roboto" w:hAnsi="Roboto"/>
        </w:rPr>
        <w:t>Treballar per a la creació d’un centre de menors LGTBI</w:t>
      </w:r>
    </w:p>
    <w:p>
      <w:pPr>
        <w:pStyle w:val="Normal"/>
        <w:numPr>
          <w:ilvl w:val="0"/>
          <w:numId w:val="1"/>
        </w:numPr>
        <w:ind w:left="720" w:hanging="360"/>
        <w:rPr>
          <w:rFonts w:ascii="Roboto" w:hAnsi="Roboto" w:eastAsia="Roboto" w:cs="Roboto"/>
          <w:u w:val="none"/>
        </w:rPr>
      </w:pPr>
      <w:r>
        <w:rPr>
          <w:rFonts w:eastAsia="Roboto" w:cs="Roboto" w:ascii="Roboto" w:hAnsi="Roboto"/>
        </w:rPr>
        <w:t xml:space="preserve">Treballar per a la creació de programes de formació, capacitació i reinserció per a persones joves lgtbi, posant especial atenció a persones trans i en concret, a dones trans. </w:t>
      </w:r>
    </w:p>
    <w:p>
      <w:pPr>
        <w:pStyle w:val="Normal"/>
        <w:numPr>
          <w:ilvl w:val="0"/>
          <w:numId w:val="1"/>
        </w:numPr>
        <w:ind w:left="720" w:hanging="360"/>
        <w:rPr/>
      </w:pPr>
      <w:r>
        <w:rPr>
          <w:rFonts w:eastAsia="Roboto" w:cs="Roboto" w:ascii="Roboto" w:hAnsi="Roboto"/>
        </w:rPr>
        <w:t>Desplegar o facilitar instruments que informin, acompanyin i facilitin l'accés als canals de denúncia pertinents</w:t>
      </w:r>
    </w:p>
    <w:sectPr>
      <w:headerReference w:type="default" r:id="rId2"/>
      <w:type w:val="nextPage"/>
      <w:pgSz w:w="11906" w:h="16838"/>
      <w:pgMar w:left="1440" w:right="1440" w:header="72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Roboto">
    <w:charset w:val="00"/>
    <w:family w:val="roman"/>
    <w:pitch w:val="variable"/>
  </w:font>
  <w:font w:name="Liberation Sans">
    <w:altName w:val="Arial"/>
    <w:charset w:val="00"/>
    <w:family w:val="swiss"/>
    <w:pitch w:val="variable"/>
  </w:font>
  <w:font w:name="Trebuchet MS">
    <w:charset w:val="00"/>
    <w:family w:val="roman"/>
    <w:pitch w:val="variable"/>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anchor behindDoc="1" distT="114300" distB="114300" distL="114300" distR="114300" simplePos="0" locked="0" layoutInCell="1" allowOverlap="1" relativeHeight="3">
          <wp:simplePos x="0" y="0"/>
          <wp:positionH relativeFrom="column">
            <wp:posOffset>3474085</wp:posOffset>
          </wp:positionH>
          <wp:positionV relativeFrom="paragraph">
            <wp:posOffset>635</wp:posOffset>
          </wp:positionV>
          <wp:extent cx="2599055" cy="1091565"/>
          <wp:effectExtent l="0" t="0" r="0" b="0"/>
          <wp:wrapSquare wrapText="bothSides"/>
          <wp:docPr id="1"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
                  <pic:cNvPicPr>
                    <a:picLocks noChangeAspect="1" noChangeArrowheads="1"/>
                  </pic:cNvPicPr>
                </pic:nvPicPr>
                <pic:blipFill>
                  <a:blip r:embed="rId1"/>
                  <a:stretch>
                    <a:fillRect/>
                  </a:stretch>
                </pic:blipFill>
                <pic:spPr bwMode="auto">
                  <a:xfrm>
                    <a:off x="0" y="0"/>
                    <a:ext cx="2599055" cy="109156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4">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1"/>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s" w:eastAsia="zh-CN" w:bidi="hi-IN"/>
      </w:rPr>
    </w:rPrDefault>
    <w:pPrDefault>
      <w:pPr/>
    </w:pPrDefault>
  </w:docDefaults>
  <w:style w:type="paragraph" w:styleId="Normal">
    <w:name w:val="Normal"/>
    <w:qFormat/>
    <w:pPr>
      <w:widowControl w:val="false"/>
      <w:spacing w:lineRule="auto" w:line="276"/>
    </w:pPr>
    <w:rPr>
      <w:rFonts w:ascii="Arial" w:hAnsi="Arial" w:eastAsia="Arial" w:cs="Arial"/>
      <w:color w:val="auto"/>
      <w:kern w:val="0"/>
      <w:sz w:val="22"/>
      <w:szCs w:val="22"/>
      <w:lang w:val="es" w:eastAsia="zh-CN" w:bidi="hi-IN"/>
    </w:rPr>
  </w:style>
  <w:style w:type="paragraph" w:styleId="Encapalament1">
    <w:name w:val="Heading 1"/>
    <w:basedOn w:val="Normal1"/>
    <w:next w:val="Normal1"/>
    <w:qFormat/>
    <w:pPr>
      <w:keepNext w:val="true"/>
      <w:keepLines/>
      <w:pageBreakBefore w:val="false"/>
      <w:spacing w:lineRule="auto" w:line="240" w:before="400" w:after="120"/>
    </w:pPr>
    <w:rPr>
      <w:sz w:val="40"/>
      <w:szCs w:val="40"/>
    </w:rPr>
  </w:style>
  <w:style w:type="paragraph" w:styleId="Encapalament2">
    <w:name w:val="Heading 2"/>
    <w:basedOn w:val="Normal1"/>
    <w:next w:val="Normal1"/>
    <w:qFormat/>
    <w:pPr>
      <w:keepNext w:val="true"/>
      <w:keepLines/>
      <w:pageBreakBefore w:val="false"/>
      <w:spacing w:lineRule="auto" w:line="240" w:before="360" w:after="120"/>
    </w:pPr>
    <w:rPr>
      <w:b w:val="false"/>
      <w:sz w:val="32"/>
      <w:szCs w:val="32"/>
    </w:rPr>
  </w:style>
  <w:style w:type="paragraph" w:styleId="Encapalament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Encapalament4">
    <w:name w:val="Heading 4"/>
    <w:basedOn w:val="Normal1"/>
    <w:next w:val="Normal1"/>
    <w:qFormat/>
    <w:pPr>
      <w:keepNext w:val="true"/>
      <w:keepLines/>
      <w:pageBreakBefore w:val="false"/>
      <w:spacing w:lineRule="auto" w:line="240" w:before="280" w:after="80"/>
    </w:pPr>
    <w:rPr>
      <w:color w:val="666666"/>
      <w:sz w:val="24"/>
      <w:szCs w:val="24"/>
    </w:rPr>
  </w:style>
  <w:style w:type="paragraph" w:styleId="Encapalament5">
    <w:name w:val="Heading 5"/>
    <w:basedOn w:val="Normal1"/>
    <w:next w:val="Normal1"/>
    <w:qFormat/>
    <w:pPr>
      <w:keepNext w:val="true"/>
      <w:keepLines/>
      <w:pageBreakBefore w:val="false"/>
      <w:spacing w:lineRule="auto" w:line="240" w:before="240" w:after="80"/>
    </w:pPr>
    <w:rPr>
      <w:color w:val="666666"/>
      <w:sz w:val="22"/>
      <w:szCs w:val="22"/>
    </w:rPr>
  </w:style>
  <w:style w:type="paragraph" w:styleId="Encapalament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ListLabel1">
    <w:name w:val="ListLabel 1"/>
    <w:qFormat/>
    <w:rPr>
      <w:rFonts w:ascii="Roboto" w:hAnsi="Roboto"/>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ascii="Roboto" w:hAnsi="Roboto"/>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rFonts w:ascii="Roboto" w:hAnsi="Roboto"/>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rFonts w:ascii="Roboto" w:hAnsi="Roboto"/>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paragraph" w:styleId="Encapalament">
    <w:name w:val="Encapçalament"/>
    <w:basedOn w:val="Normal"/>
    <w:next w:val="Cosdeltext"/>
    <w:qFormat/>
    <w:pPr>
      <w:keepNext w:val="true"/>
      <w:spacing w:before="240" w:after="120"/>
    </w:pPr>
    <w:rPr>
      <w:rFonts w:ascii="Liberation Sans" w:hAnsi="Liberation Sans" w:eastAsia="Microsoft YaHei" w:cs="Mang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Mangal"/>
    </w:rPr>
  </w:style>
  <w:style w:type="paragraph" w:styleId="Llegenda">
    <w:name w:val="Caption"/>
    <w:basedOn w:val="Normal"/>
    <w:qFormat/>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Normal1" w:default="1">
    <w:name w:val="LO-normal"/>
    <w:qFormat/>
    <w:pPr>
      <w:widowControl/>
      <w:bidi w:val="0"/>
      <w:jc w:val="left"/>
    </w:pPr>
    <w:rPr>
      <w:rFonts w:ascii="Arial" w:hAnsi="Arial" w:eastAsia="Arial" w:cs="Arial"/>
      <w:color w:val="auto"/>
      <w:kern w:val="0"/>
      <w:sz w:val="22"/>
      <w:szCs w:val="22"/>
      <w:lang w:val="es" w:eastAsia="zh-CN" w:bidi="hi-IN"/>
    </w:rPr>
  </w:style>
  <w:style w:type="paragraph" w:styleId="Ttol">
    <w:name w:val="Title"/>
    <w:basedOn w:val="Normal1"/>
    <w:next w:val="Normal1"/>
    <w:qFormat/>
    <w:pPr>
      <w:keepNext w:val="true"/>
      <w:keepLines/>
      <w:pageBreakBefore w:val="false"/>
      <w:spacing w:lineRule="auto" w:line="240" w:before="0" w:after="60"/>
    </w:pPr>
    <w:rPr>
      <w:sz w:val="52"/>
      <w:szCs w:val="52"/>
    </w:rPr>
  </w:style>
  <w:style w:type="paragraph" w:styleId="Subttol">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apalera">
    <w:name w:val="Header"/>
    <w:basedOn w:val="Normal"/>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LibreOffice/6.1.5.2$Windows_x86 LibreOffice_project/90f8dcf33c87b3705e78202e3df5142b201bd805</Application>
  <Pages>2</Pages>
  <Words>968</Words>
  <Characters>4967</Characters>
  <CharactersWithSpaces>5907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ca-ES</dc:language>
  <cp:lastModifiedBy/>
  <cp:revision>0</cp:revision>
  <dc:subject/>
  <dc:title/>
</cp:coreProperties>
</file>