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footer1.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header1.xml" ContentType="application/vnd.openxmlformats-officedocument.wordprocessingml.header+xml"/>
  <Override PartName="/word/header2.xml" ContentType="application/vnd.openxmlformats-officedocument.wordprocessingml.header+xml"/>
  <Override PartName="/word/media/image1.jpeg" ContentType="image/jpeg"/>
  <Override PartName="/word/media/image2.jpeg" ContentType="image/jpeg"/>
  <Override PartName="/word/numbering.xml" ContentType="application/vnd.openxmlformats-officedocument.wordprocessingml.numbering+xml"/>
  <Override PartName="/word/footer2.xml" ContentType="application/vnd.openxmlformats-officedocument.wordprocessingml.footer+xml"/>
  <Override PartName="/word/fontTable.xml" ContentType="application/vnd.openxmlformats-officedocument.wordprocessingml.fontTable+xml"/>
  <Override PartName="/word/fonts/font9.odttf" ContentType="application/vnd.openxmlformats-officedocument.obfuscatedFont"/>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12.odttf" ContentType="application/vnd.openxmlformats-officedocument.obfuscatedFont"/>
  <Override PartName="/word/fonts/font13.odttf" ContentType="application/vnd.openxmlformats-officedocument.obfuscatedFont"/>
  <Override PartName="/word/fonts/font14.odttf" ContentType="application/vnd.openxmlformats-officedocument.obfuscatedFont"/>
  <Override PartName="/word/fonts/font15.odttf" ContentType="application/vnd.openxmlformats-officedocument.obfuscatedFont"/>
  <Override PartName="/word/fonts/font16.odttf" ContentType="application/vnd.openxmlformats-officedocument.obfuscatedFont"/>
  <Override PartName="/word/fonts/font17.odttf" ContentType="application/vnd.openxmlformats-officedocument.obfuscatedFont"/>
  <Override PartName="/word/fonts/font18.odttf" ContentType="application/vnd.openxmlformats-officedocument.obfuscatedFont"/>
  <Override PartName="/word/settings.xml" ContentType="application/vnd.openxmlformats-officedocument.wordprocessingml.settings+xml"/>
  <Override PartName="/word/theme/theme1.xml" ContentType="application/vnd.openxmlformats-officedocument.theme+xml"/>
  <Override PartName="/word/_rels/document.xml.rels" ContentType="application/vnd.openxmlformats-package.relationships+xml"/>
  <Override PartName="/word/_rels/header1.xml.rels" ContentType="application/vnd.openxmlformats-package.relationships+xml"/>
  <Override PartName="/word/_rels/header2.xml.rels" ContentType="application/vnd.openxmlformats-package.relationships+xml"/>
  <Override PartName="/word/_rels/fontTable.xml.rels" ContentType="application/vnd.openxmlformats-package.relationships+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pBdr/>
        <w:tabs>
          <w:tab w:val="clear" w:pos="720"/>
          <w:tab w:val="center" w:pos="4249" w:leader="none"/>
        </w:tabs>
        <w:jc w:val="left"/>
        <w:rPr>
          <w:rFonts w:ascii="Noto Sans Batak" w:hAnsi="Noto Sans Batak" w:eastAsia="Noto Sans Batak" w:cs="Noto Sans Batak"/>
          <w:b/>
          <w:b/>
          <w:color w:val="000000"/>
          <w:sz w:val="22"/>
          <w:szCs w:val="22"/>
        </w:rPr>
      </w:pPr>
      <w:r>
        <w:rPr>
          <w:rFonts w:eastAsia="Noto Sans Batak" w:cs="Noto Sans Batak" w:ascii="Noto Sans Batak" w:hAnsi="Noto Sans Batak"/>
          <w:b/>
          <w:color w:val="000000"/>
          <w:sz w:val="22"/>
          <w:szCs w:val="22"/>
        </w:rPr>
        <w:t xml:space="preserve"> </w:t>
      </w:r>
    </w:p>
    <w:p>
      <w:pPr>
        <w:pStyle w:val="Normal"/>
        <w:pBdr/>
        <w:tabs>
          <w:tab w:val="clear" w:pos="720"/>
          <w:tab w:val="center" w:pos="4249" w:leader="none"/>
        </w:tabs>
        <w:jc w:val="center"/>
        <w:rPr>
          <w:rFonts w:ascii="Noto Sans" w:hAnsi="Noto Sans" w:eastAsia="Noto Sans" w:cs="Noto Sans"/>
          <w:b/>
          <w:b/>
          <w:color w:val="000000"/>
          <w:sz w:val="22"/>
          <w:szCs w:val="22"/>
        </w:rPr>
      </w:pPr>
      <w:r>
        <w:rPr>
          <w:rFonts w:eastAsia="Noto Sans" w:cs="Noto Sans" w:ascii="Noto Sans" w:hAnsi="Noto Sans"/>
          <w:b/>
          <w:color w:val="000000"/>
          <w:sz w:val="22"/>
          <w:szCs w:val="22"/>
        </w:rPr>
      </w:r>
    </w:p>
    <w:p>
      <w:pPr>
        <w:pStyle w:val="Normal"/>
        <w:pBdr/>
        <w:tabs>
          <w:tab w:val="clear" w:pos="720"/>
          <w:tab w:val="center" w:pos="4249" w:leader="none"/>
        </w:tabs>
        <w:jc w:val="center"/>
        <w:rPr>
          <w:rFonts w:ascii="Noto Sans" w:hAnsi="Noto Sans" w:eastAsia="Noto Sans" w:cs="Noto Sans"/>
          <w:b/>
          <w:b/>
          <w:color w:val="000000"/>
          <w:sz w:val="24"/>
          <w:szCs w:val="24"/>
        </w:rPr>
      </w:pPr>
      <w:r>
        <w:rPr>
          <w:rFonts w:eastAsia="Noto Sans" w:cs="Noto Sans" w:ascii="Noto Sans" w:hAnsi="Noto Sans"/>
          <w:b/>
          <w:color w:val="000000"/>
          <w:sz w:val="24"/>
          <w:szCs w:val="24"/>
        </w:rPr>
        <w:t>ORIENTACIONS PER A L</w:t>
      </w:r>
      <w:r>
        <w:rPr>
          <w:rFonts w:eastAsia="Noto Sans" w:cs="Noto Sans" w:ascii="Noto Sans" w:hAnsi="Noto Sans"/>
          <w:b/>
          <w:sz w:val="24"/>
          <w:szCs w:val="24"/>
        </w:rPr>
        <w:t>’ELABORACIÓ</w:t>
      </w:r>
      <w:r>
        <w:rPr>
          <w:rFonts w:eastAsia="Noto Sans" w:cs="Noto Sans" w:ascii="Noto Sans" w:hAnsi="Noto Sans"/>
          <w:b/>
          <w:color w:val="000000"/>
          <w:sz w:val="24"/>
          <w:szCs w:val="24"/>
        </w:rPr>
        <w:t xml:space="preserve"> DELS</w:t>
      </w:r>
      <w:r>
        <w:rPr>
          <w:rFonts w:eastAsia="Noto Sans" w:cs="Noto Sans" w:ascii="Noto Sans" w:hAnsi="Noto Sans"/>
          <w:b/>
          <w:sz w:val="24"/>
          <w:szCs w:val="24"/>
        </w:rPr>
        <w:t xml:space="preserve"> </w:t>
      </w:r>
      <w:r>
        <w:rPr>
          <w:rFonts w:eastAsia="Noto Sans" w:cs="Noto Sans" w:ascii="Noto Sans" w:hAnsi="Noto Sans"/>
          <w:b/>
          <w:color w:val="000000"/>
          <w:sz w:val="24"/>
          <w:szCs w:val="24"/>
        </w:rPr>
        <w:t>PLANS DE MILLORA DE CENTRE A PARTIR DELS RESULTATS DE LES PROVES D’AVALUACIÓ DE DIAGNÒSTIC</w:t>
      </w:r>
    </w:p>
    <w:p>
      <w:pPr>
        <w:pStyle w:val="Normal"/>
        <w:pBdr/>
        <w:tabs>
          <w:tab w:val="clear" w:pos="720"/>
          <w:tab w:val="center" w:pos="4249" w:leader="none"/>
        </w:tabs>
        <w:jc w:val="center"/>
        <w:rPr>
          <w:rFonts w:ascii="Noto Sans" w:hAnsi="Noto Sans" w:eastAsia="Noto Sans" w:cs="Noto Sans"/>
          <w:b/>
          <w:b/>
          <w:color w:val="000000"/>
          <w:sz w:val="28"/>
          <w:szCs w:val="28"/>
        </w:rPr>
      </w:pPr>
      <w:r>
        <w:rPr>
          <w:rFonts w:eastAsia="Noto Sans" w:cs="Noto Sans" w:ascii="Noto Sans" w:hAnsi="Noto Sans"/>
          <w:b/>
          <w:color w:val="000000"/>
          <w:sz w:val="28"/>
          <w:szCs w:val="28"/>
        </w:rPr>
      </w:r>
    </w:p>
    <w:p>
      <w:pPr>
        <w:pStyle w:val="Normal"/>
        <w:pBdr/>
        <w:tabs>
          <w:tab w:val="clear" w:pos="720"/>
          <w:tab w:val="center" w:pos="4249" w:leader="none"/>
        </w:tabs>
        <w:jc w:val="center"/>
        <w:rPr>
          <w:rFonts w:ascii="Noto Sans" w:hAnsi="Noto Sans" w:eastAsia="Noto Sans" w:cs="Noto Sans"/>
          <w:b/>
          <w:b/>
          <w:color w:val="000000"/>
          <w:sz w:val="22"/>
          <w:szCs w:val="22"/>
        </w:rPr>
      </w:pPr>
      <w:r>
        <w:rPr>
          <w:rFonts w:eastAsia="Noto Sans" w:cs="Noto Sans" w:ascii="Noto Sans" w:hAnsi="Noto Sans"/>
          <w:b/>
          <w:color w:val="000000"/>
          <w:sz w:val="22"/>
          <w:szCs w:val="22"/>
        </w:rPr>
      </w:r>
    </w:p>
    <w:p>
      <w:pPr>
        <w:pStyle w:val="Normal"/>
        <w:pBdr/>
        <w:rPr>
          <w:rFonts w:ascii="Noto Sans" w:hAnsi="Noto Sans" w:eastAsia="Noto Sans" w:cs="Noto Sans"/>
          <w:b/>
          <w:b/>
          <w:color w:val="000000"/>
          <w:sz w:val="22"/>
          <w:szCs w:val="22"/>
        </w:rPr>
      </w:pPr>
      <w:r>
        <w:rPr>
          <w:rFonts w:eastAsia="Noto Sans" w:cs="Noto Sans" w:ascii="Noto Sans" w:hAnsi="Noto Sans"/>
          <w:b/>
          <w:color w:val="000000"/>
          <w:sz w:val="22"/>
          <w:szCs w:val="22"/>
        </w:rPr>
        <w:t xml:space="preserve">ÍNDEX    </w:t>
      </w:r>
    </w:p>
    <w:tbl>
      <w:tblPr>
        <w:tblStyle w:val="Tablaconcuadrcula"/>
        <w:tblW w:w="8646" w:type="dxa"/>
        <w:jc w:val="left"/>
        <w:tblInd w:w="0" w:type="dxa"/>
        <w:tblCellMar>
          <w:top w:w="0" w:type="dxa"/>
          <w:left w:w="108" w:type="dxa"/>
          <w:bottom w:w="0" w:type="dxa"/>
          <w:right w:w="108" w:type="dxa"/>
        </w:tblCellMar>
        <w:tblLook w:firstRow="1" w:noVBand="1" w:lastRow="0" w:firstColumn="1" w:lastColumn="0" w:noHBand="0" w:val="04a0"/>
      </w:tblPr>
      <w:tblGrid>
        <w:gridCol w:w="7912"/>
        <w:gridCol w:w="733"/>
      </w:tblGrid>
      <w:tr>
        <w:trPr>
          <w:trHeight w:val="567" w:hRule="atLeast"/>
        </w:trPr>
        <w:tc>
          <w:tcPr>
            <w:tcW w:w="7912" w:type="dxa"/>
            <w:tcBorders>
              <w:top w:val="nil"/>
              <w:left w:val="nil"/>
              <w:bottom w:val="nil"/>
              <w:right w:val="nil"/>
              <w:insideH w:val="nil"/>
              <w:insideV w:val="nil"/>
            </w:tcBorders>
            <w:shd w:fill="auto" w:val="clear"/>
          </w:tcPr>
          <w:p>
            <w:pPr>
              <w:pStyle w:val="ListParagraph"/>
              <w:numPr>
                <w:ilvl w:val="0"/>
                <w:numId w:val="2"/>
              </w:numPr>
              <w:spacing w:lineRule="auto" w:line="240" w:before="0" w:after="0"/>
              <w:contextualSpacing/>
              <w:rPr>
                <w:rFonts w:ascii="Noto Sans" w:hAnsi="Noto Sans" w:eastAsia="Noto Sans" w:cs="Noto Sans"/>
                <w:b/>
                <w:b/>
                <w:color w:val="000000"/>
                <w:sz w:val="22"/>
                <w:szCs w:val="22"/>
              </w:rPr>
            </w:pPr>
            <w:r>
              <w:rPr>
                <w:rFonts w:eastAsia="Noto Sans" w:cs="Noto Sans" w:ascii="Noto Sans" w:hAnsi="Noto Sans"/>
                <w:sz w:val="22"/>
                <w:szCs w:val="22"/>
              </w:rPr>
              <w:t>Introducció</w:t>
            </w:r>
          </w:p>
        </w:tc>
        <w:tc>
          <w:tcPr>
            <w:tcW w:w="733" w:type="dxa"/>
            <w:tcBorders>
              <w:top w:val="nil"/>
              <w:left w:val="nil"/>
              <w:bottom w:val="nil"/>
              <w:right w:val="nil"/>
              <w:insideH w:val="nil"/>
              <w:insideV w:val="nil"/>
            </w:tcBorders>
            <w:shd w:fill="auto" w:val="clear"/>
          </w:tcPr>
          <w:p>
            <w:pPr>
              <w:pStyle w:val="Normal"/>
              <w:spacing w:lineRule="auto" w:line="240" w:before="0" w:after="0"/>
              <w:rPr>
                <w:rFonts w:ascii="Noto Sans" w:hAnsi="Noto Sans" w:eastAsia="Noto Sans" w:cs="Noto Sans"/>
                <w:color w:val="000000"/>
                <w:sz w:val="22"/>
                <w:szCs w:val="22"/>
              </w:rPr>
            </w:pPr>
            <w:r>
              <w:rPr>
                <w:rFonts w:eastAsia="Noto Sans" w:cs="Noto Sans" w:ascii="Noto Sans" w:hAnsi="Noto Sans"/>
                <w:color w:val="000000"/>
                <w:sz w:val="22"/>
                <w:szCs w:val="22"/>
              </w:rPr>
              <w:t>1</w:t>
            </w:r>
          </w:p>
        </w:tc>
      </w:tr>
      <w:tr>
        <w:trPr>
          <w:trHeight w:val="567" w:hRule="atLeast"/>
        </w:trPr>
        <w:tc>
          <w:tcPr>
            <w:tcW w:w="7912" w:type="dxa"/>
            <w:tcBorders>
              <w:top w:val="nil"/>
              <w:left w:val="nil"/>
              <w:bottom w:val="nil"/>
              <w:right w:val="nil"/>
              <w:insideH w:val="nil"/>
              <w:insideV w:val="nil"/>
            </w:tcBorders>
            <w:shd w:fill="auto" w:val="clear"/>
          </w:tcPr>
          <w:p>
            <w:pPr>
              <w:pStyle w:val="ListParagraph"/>
              <w:numPr>
                <w:ilvl w:val="0"/>
                <w:numId w:val="2"/>
              </w:numPr>
              <w:spacing w:lineRule="auto" w:line="240" w:before="0" w:after="0"/>
              <w:contextualSpacing/>
              <w:rPr>
                <w:rFonts w:ascii="Noto Sans" w:hAnsi="Noto Sans" w:eastAsia="Noto Sans" w:cs="Noto Sans"/>
                <w:b/>
                <w:b/>
                <w:color w:val="000000"/>
                <w:sz w:val="22"/>
                <w:szCs w:val="22"/>
              </w:rPr>
            </w:pPr>
            <w:r>
              <w:rPr>
                <w:rFonts w:eastAsia="Noto Sans" w:cs="Noto Sans" w:ascii="Noto Sans" w:hAnsi="Noto Sans"/>
                <w:color w:val="000000"/>
                <w:sz w:val="22"/>
                <w:szCs w:val="22"/>
              </w:rPr>
              <w:t>Normativa</w:t>
            </w:r>
          </w:p>
        </w:tc>
        <w:tc>
          <w:tcPr>
            <w:tcW w:w="733" w:type="dxa"/>
            <w:tcBorders>
              <w:top w:val="nil"/>
              <w:left w:val="nil"/>
              <w:bottom w:val="nil"/>
              <w:right w:val="nil"/>
              <w:insideH w:val="nil"/>
              <w:insideV w:val="nil"/>
            </w:tcBorders>
            <w:shd w:fill="auto" w:val="clear"/>
          </w:tcPr>
          <w:p>
            <w:pPr>
              <w:pStyle w:val="Normal"/>
              <w:spacing w:lineRule="auto" w:line="240" w:before="0" w:after="0"/>
              <w:rPr>
                <w:rFonts w:ascii="Noto Sans" w:hAnsi="Noto Sans" w:eastAsia="Noto Sans" w:cs="Noto Sans"/>
                <w:color w:val="000000"/>
                <w:sz w:val="22"/>
                <w:szCs w:val="22"/>
              </w:rPr>
            </w:pPr>
            <w:r>
              <w:rPr>
                <w:rFonts w:eastAsia="Noto Sans" w:cs="Noto Sans" w:ascii="Noto Sans" w:hAnsi="Noto Sans"/>
                <w:color w:val="000000"/>
                <w:sz w:val="22"/>
                <w:szCs w:val="22"/>
              </w:rPr>
              <w:t>4</w:t>
            </w:r>
          </w:p>
        </w:tc>
      </w:tr>
      <w:tr>
        <w:trPr>
          <w:trHeight w:val="567" w:hRule="atLeast"/>
        </w:trPr>
        <w:tc>
          <w:tcPr>
            <w:tcW w:w="7912" w:type="dxa"/>
            <w:tcBorders>
              <w:top w:val="nil"/>
              <w:left w:val="nil"/>
              <w:bottom w:val="nil"/>
              <w:right w:val="nil"/>
              <w:insideH w:val="nil"/>
              <w:insideV w:val="nil"/>
            </w:tcBorders>
            <w:shd w:fill="auto" w:val="clear"/>
          </w:tcPr>
          <w:p>
            <w:pPr>
              <w:pStyle w:val="ListParagraph"/>
              <w:numPr>
                <w:ilvl w:val="0"/>
                <w:numId w:val="2"/>
              </w:numPr>
              <w:spacing w:lineRule="auto" w:line="240" w:before="0" w:after="0"/>
              <w:contextualSpacing/>
              <w:rPr>
                <w:rFonts w:ascii="Noto Sans" w:hAnsi="Noto Sans" w:eastAsia="Noto Sans" w:cs="Noto Sans"/>
                <w:b/>
                <w:b/>
                <w:color w:val="000000"/>
                <w:sz w:val="22"/>
                <w:szCs w:val="22"/>
              </w:rPr>
            </w:pPr>
            <w:r>
              <w:rPr>
                <w:rFonts w:eastAsia="Noto Sans" w:cs="Noto Sans" w:ascii="Noto Sans" w:hAnsi="Noto Sans"/>
                <w:color w:val="000000"/>
                <w:sz w:val="22"/>
                <w:szCs w:val="22"/>
              </w:rPr>
              <w:t>Recursos  i indicadors a considerar en la valoració dels resultats</w:t>
            </w:r>
          </w:p>
        </w:tc>
        <w:tc>
          <w:tcPr>
            <w:tcW w:w="733" w:type="dxa"/>
            <w:tcBorders>
              <w:top w:val="nil"/>
              <w:left w:val="nil"/>
              <w:bottom w:val="nil"/>
              <w:right w:val="nil"/>
              <w:insideH w:val="nil"/>
              <w:insideV w:val="nil"/>
            </w:tcBorders>
            <w:shd w:fill="auto" w:val="clear"/>
          </w:tcPr>
          <w:p>
            <w:pPr>
              <w:pStyle w:val="Normal"/>
              <w:spacing w:lineRule="auto" w:line="240" w:before="0" w:after="0"/>
              <w:rPr>
                <w:rFonts w:ascii="Noto Sans" w:hAnsi="Noto Sans" w:eastAsia="Noto Sans" w:cs="Noto Sans"/>
                <w:color w:val="000000"/>
                <w:sz w:val="22"/>
                <w:szCs w:val="22"/>
              </w:rPr>
            </w:pPr>
            <w:r>
              <w:rPr>
                <w:rFonts w:eastAsia="Noto Sans" w:cs="Noto Sans" w:ascii="Noto Sans" w:hAnsi="Noto Sans"/>
                <w:color w:val="000000"/>
                <w:sz w:val="22"/>
                <w:szCs w:val="22"/>
              </w:rPr>
              <w:t>8</w:t>
            </w:r>
          </w:p>
        </w:tc>
      </w:tr>
      <w:tr>
        <w:trPr>
          <w:trHeight w:val="567" w:hRule="atLeast"/>
        </w:trPr>
        <w:tc>
          <w:tcPr>
            <w:tcW w:w="7912" w:type="dxa"/>
            <w:tcBorders>
              <w:top w:val="nil"/>
              <w:left w:val="nil"/>
              <w:bottom w:val="nil"/>
              <w:right w:val="nil"/>
              <w:insideH w:val="nil"/>
              <w:insideV w:val="nil"/>
            </w:tcBorders>
            <w:shd w:fill="auto" w:val="clear"/>
          </w:tcPr>
          <w:p>
            <w:pPr>
              <w:pStyle w:val="ListParagraph"/>
              <w:numPr>
                <w:ilvl w:val="0"/>
                <w:numId w:val="2"/>
              </w:numPr>
              <w:spacing w:lineRule="auto" w:line="240" w:before="0" w:after="0"/>
              <w:contextualSpacing/>
              <w:rPr>
                <w:rFonts w:ascii="Noto Sans" w:hAnsi="Noto Sans" w:eastAsia="Noto Sans" w:cs="Noto Sans"/>
                <w:b/>
                <w:b/>
                <w:color w:val="000000"/>
                <w:sz w:val="22"/>
                <w:szCs w:val="22"/>
              </w:rPr>
            </w:pPr>
            <w:r>
              <w:rPr>
                <w:rFonts w:eastAsia="Noto Sans" w:cs="Noto Sans" w:ascii="Noto Sans" w:hAnsi="Noto Sans"/>
                <w:color w:val="000000"/>
                <w:sz w:val="22"/>
                <w:szCs w:val="22"/>
              </w:rPr>
              <w:t>Actuacions temporalitzades i atribució de responsabilitats</w:t>
            </w:r>
          </w:p>
        </w:tc>
        <w:tc>
          <w:tcPr>
            <w:tcW w:w="733" w:type="dxa"/>
            <w:tcBorders>
              <w:top w:val="nil"/>
              <w:left w:val="nil"/>
              <w:bottom w:val="nil"/>
              <w:right w:val="nil"/>
              <w:insideH w:val="nil"/>
              <w:insideV w:val="nil"/>
            </w:tcBorders>
            <w:shd w:fill="auto" w:val="clear"/>
          </w:tcPr>
          <w:p>
            <w:pPr>
              <w:pStyle w:val="Normal"/>
              <w:spacing w:lineRule="auto" w:line="240" w:before="0" w:after="0"/>
              <w:rPr>
                <w:rFonts w:ascii="Noto Sans" w:hAnsi="Noto Sans" w:eastAsia="Noto Sans" w:cs="Noto Sans"/>
                <w:color w:val="000000"/>
                <w:sz w:val="22"/>
                <w:szCs w:val="22"/>
              </w:rPr>
            </w:pPr>
            <w:r>
              <w:rPr>
                <w:rFonts w:eastAsia="Noto Sans" w:cs="Noto Sans" w:ascii="Noto Sans" w:hAnsi="Noto Sans"/>
                <w:color w:val="000000"/>
                <w:sz w:val="22"/>
                <w:szCs w:val="22"/>
              </w:rPr>
              <w:t>10</w:t>
            </w:r>
          </w:p>
        </w:tc>
      </w:tr>
      <w:tr>
        <w:trPr>
          <w:trHeight w:val="567" w:hRule="atLeast"/>
        </w:trPr>
        <w:tc>
          <w:tcPr>
            <w:tcW w:w="7912" w:type="dxa"/>
            <w:tcBorders>
              <w:top w:val="nil"/>
              <w:left w:val="nil"/>
              <w:bottom w:val="nil"/>
              <w:right w:val="nil"/>
              <w:insideH w:val="nil"/>
              <w:insideV w:val="nil"/>
            </w:tcBorders>
            <w:shd w:fill="auto" w:val="clear"/>
          </w:tcPr>
          <w:p>
            <w:pPr>
              <w:pStyle w:val="ListParagraph"/>
              <w:numPr>
                <w:ilvl w:val="0"/>
                <w:numId w:val="2"/>
              </w:numPr>
              <w:spacing w:lineRule="auto" w:line="240" w:before="0" w:after="0"/>
              <w:contextualSpacing/>
              <w:rPr>
                <w:rFonts w:ascii="Noto Sans" w:hAnsi="Noto Sans" w:eastAsia="Noto Sans" w:cs="Noto Sans"/>
                <w:b/>
                <w:b/>
                <w:color w:val="000000"/>
                <w:sz w:val="22"/>
                <w:szCs w:val="22"/>
              </w:rPr>
            </w:pPr>
            <w:r>
              <w:rPr>
                <w:rFonts w:eastAsia="Noto Sans" w:cs="Noto Sans" w:ascii="Noto Sans" w:hAnsi="Noto Sans"/>
                <w:color w:val="000000"/>
                <w:sz w:val="22"/>
                <w:szCs w:val="22"/>
              </w:rPr>
              <w:t xml:space="preserve">Graelles orientatives: concreció del Pla de </w:t>
            </w:r>
            <w:r>
              <w:rPr>
                <w:rFonts w:eastAsia="Noto Sans" w:cs="Noto Sans" w:ascii="Noto Sans" w:hAnsi="Noto Sans"/>
                <w:sz w:val="22"/>
                <w:szCs w:val="22"/>
              </w:rPr>
              <w:t>m</w:t>
            </w:r>
            <w:r>
              <w:rPr>
                <w:rFonts w:eastAsia="Noto Sans" w:cs="Noto Sans" w:ascii="Noto Sans" w:hAnsi="Noto Sans"/>
                <w:color w:val="000000"/>
                <w:sz w:val="22"/>
                <w:szCs w:val="22"/>
              </w:rPr>
              <w:t>illora</w:t>
            </w:r>
          </w:p>
        </w:tc>
        <w:tc>
          <w:tcPr>
            <w:tcW w:w="733" w:type="dxa"/>
            <w:tcBorders>
              <w:top w:val="nil"/>
              <w:left w:val="nil"/>
              <w:bottom w:val="nil"/>
              <w:right w:val="nil"/>
              <w:insideH w:val="nil"/>
              <w:insideV w:val="nil"/>
            </w:tcBorders>
            <w:shd w:fill="auto" w:val="clear"/>
          </w:tcPr>
          <w:p>
            <w:pPr>
              <w:pStyle w:val="Normal"/>
              <w:spacing w:lineRule="auto" w:line="240" w:before="0" w:after="0"/>
              <w:rPr>
                <w:rFonts w:ascii="Noto Sans" w:hAnsi="Noto Sans" w:eastAsia="Noto Sans" w:cs="Noto Sans"/>
                <w:color w:val="000000"/>
                <w:sz w:val="22"/>
                <w:szCs w:val="22"/>
              </w:rPr>
            </w:pPr>
            <w:r>
              <w:rPr>
                <w:rFonts w:eastAsia="Noto Sans" w:cs="Noto Sans" w:ascii="Noto Sans" w:hAnsi="Noto Sans"/>
                <w:color w:val="000000"/>
                <w:sz w:val="22"/>
                <w:szCs w:val="22"/>
              </w:rPr>
              <w:t>14</w:t>
            </w:r>
          </w:p>
        </w:tc>
      </w:tr>
    </w:tbl>
    <w:p>
      <w:pPr>
        <w:pStyle w:val="Normal"/>
        <w:pBdr/>
        <w:rPr>
          <w:rFonts w:ascii="Noto Sans" w:hAnsi="Noto Sans" w:eastAsia="Noto Sans" w:cs="Noto Sans"/>
          <w:b/>
          <w:b/>
          <w:color w:val="000000"/>
          <w:sz w:val="22"/>
          <w:szCs w:val="22"/>
        </w:rPr>
      </w:pPr>
      <w:r>
        <w:rPr>
          <w:rFonts w:eastAsia="Noto Sans" w:cs="Noto Sans" w:ascii="Noto Sans" w:hAnsi="Noto Sans"/>
          <w:b/>
          <w:color w:val="000000"/>
          <w:sz w:val="22"/>
          <w:szCs w:val="22"/>
        </w:rPr>
      </w:r>
    </w:p>
    <w:p>
      <w:pPr>
        <w:pStyle w:val="Normal"/>
        <w:pBdr/>
        <w:ind w:left="360" w:hanging="0"/>
        <w:rPr>
          <w:rFonts w:ascii="Noto Sans" w:hAnsi="Noto Sans" w:eastAsia="Noto Sans" w:cs="Noto Sans"/>
          <w:color w:val="000000"/>
          <w:sz w:val="22"/>
          <w:szCs w:val="22"/>
        </w:rPr>
      </w:pPr>
      <w:r>
        <w:rPr>
          <w:rFonts w:eastAsia="Noto Sans" w:cs="Noto Sans" w:ascii="Noto Sans" w:hAnsi="Noto Sans"/>
          <w:color w:val="000000"/>
          <w:sz w:val="22"/>
          <w:szCs w:val="22"/>
        </w:rPr>
      </w:r>
    </w:p>
    <w:p>
      <w:pPr>
        <w:pStyle w:val="Normal"/>
        <w:pBdr/>
        <w:rPr>
          <w:rFonts w:ascii="Noto Sans" w:hAnsi="Noto Sans" w:eastAsia="Noto Sans" w:cs="Noto Sans"/>
          <w:b/>
          <w:b/>
          <w:color w:val="000000"/>
          <w:sz w:val="22"/>
          <w:szCs w:val="22"/>
        </w:rPr>
      </w:pPr>
      <w:r>
        <w:rPr>
          <w:rFonts w:eastAsia="Noto Sans" w:cs="Noto Sans" w:ascii="Noto Sans" w:hAnsi="Noto Sans"/>
          <w:b/>
          <w:color w:val="000000"/>
          <w:sz w:val="22"/>
          <w:szCs w:val="22"/>
        </w:rPr>
        <w:t xml:space="preserve">A. </w:t>
      </w:r>
      <w:r>
        <w:rPr>
          <w:rFonts w:eastAsia="Noto Sans" w:cs="Noto Sans" w:ascii="Noto Sans" w:hAnsi="Noto Sans"/>
          <w:b/>
          <w:sz w:val="22"/>
          <w:szCs w:val="22"/>
        </w:rPr>
        <w:t>INTRODUCCIÓ</w:t>
      </w:r>
    </w:p>
    <w:p>
      <w:pPr>
        <w:pStyle w:val="Normal"/>
        <w:pBdr/>
        <w:rPr/>
      </w:pPr>
      <w:r>
        <w:rPr>
          <w:rFonts w:eastAsia="Noto Sans" w:cs="Noto Sans" w:ascii="Noto Sans" w:hAnsi="Noto Sans"/>
          <w:color w:val="000000"/>
          <w:sz w:val="22"/>
          <w:szCs w:val="22"/>
        </w:rPr>
        <w:t xml:space="preserve">L’avaluació de </w:t>
      </w:r>
      <w:r>
        <w:rPr>
          <w:rFonts w:eastAsia="Noto Sans" w:cs="Noto Sans" w:ascii="Noto Sans" w:hAnsi="Noto Sans"/>
          <w:sz w:val="22"/>
          <w:szCs w:val="22"/>
        </w:rPr>
        <w:t xml:space="preserve">diagnòstic, tal com estableix la </w:t>
      </w:r>
      <w:hyperlink r:id="rId2">
        <w:r>
          <w:rPr>
            <w:rStyle w:val="ListLabel12"/>
            <w:rFonts w:eastAsia="Noto Sans" w:cs="Noto Sans" w:ascii="Noto Sans" w:hAnsi="Noto Sans"/>
            <w:sz w:val="22"/>
            <w:szCs w:val="22"/>
          </w:rPr>
          <w:t xml:space="preserve">Llei Orgànica 2/2006, de 3 de maig, d’educació </w:t>
        </w:r>
      </w:hyperlink>
      <w:hyperlink r:id="rId3">
        <w:r>
          <w:rPr>
            <w:rStyle w:val="ListLabel12"/>
            <w:rFonts w:eastAsia="Noto Sans" w:cs="Noto Sans" w:ascii="Noto Sans" w:hAnsi="Noto Sans"/>
            <w:sz w:val="22"/>
            <w:szCs w:val="22"/>
          </w:rPr>
          <w:t>(BOE núm. 106 - 4/5/2006</w:t>
        </w:r>
      </w:hyperlink>
      <w:r>
        <w:rPr>
          <w:rFonts w:eastAsia="Noto Sans" w:cs="Noto Sans" w:ascii="Noto Sans" w:hAnsi="Noto Sans"/>
          <w:sz w:val="22"/>
          <w:szCs w:val="22"/>
        </w:rPr>
        <w:t xml:space="preserve">)  modificada per la Llei Orgànica 3/2020, de 29 de desembre </w:t>
      </w:r>
      <w:hyperlink r:id="rId4">
        <w:r>
          <w:rPr>
            <w:rStyle w:val="ListLabel12"/>
            <w:rFonts w:eastAsia="Noto Sans" w:cs="Noto Sans" w:ascii="Noto Sans" w:hAnsi="Noto Sans"/>
            <w:sz w:val="22"/>
            <w:szCs w:val="22"/>
          </w:rPr>
          <w:t>(BOE núm. 340 - 30/12/2020</w:t>
        </w:r>
      </w:hyperlink>
      <w:r>
        <w:rPr>
          <w:rFonts w:eastAsia="Noto Sans" w:cs="Noto Sans" w:ascii="Noto Sans" w:hAnsi="Noto Sans"/>
          <w:sz w:val="22"/>
          <w:szCs w:val="22"/>
        </w:rPr>
        <w:t xml:space="preserve"> </w:t>
      </w:r>
      <w:hyperlink r:id="rId5">
        <w:r>
          <w:rPr>
            <w:rStyle w:val="ListLabel12"/>
            <w:rFonts w:eastAsia="Noto Sans" w:cs="Noto Sans" w:ascii="Noto Sans" w:hAnsi="Noto Sans"/>
            <w:sz w:val="22"/>
            <w:szCs w:val="22"/>
          </w:rPr>
          <w:t>(</w:t>
        </w:r>
      </w:hyperlink>
      <w:hyperlink r:id="rId6">
        <w:r>
          <w:rPr>
            <w:rStyle w:val="ListLabel12"/>
            <w:rFonts w:eastAsia="Noto Sans" w:cs="Noto Sans" w:ascii="Noto Sans" w:hAnsi="Noto Sans"/>
            <w:sz w:val="22"/>
            <w:szCs w:val="22"/>
          </w:rPr>
          <w:t>LOMLOE)</w:t>
        </w:r>
      </w:hyperlink>
      <w:r>
        <w:rPr>
          <w:rFonts w:eastAsia="Noto Sans" w:cs="Noto Sans" w:ascii="Noto Sans" w:hAnsi="Noto Sans"/>
          <w:sz w:val="22"/>
          <w:szCs w:val="22"/>
        </w:rPr>
        <w:t xml:space="preserve">, té per objectiu </w:t>
      </w:r>
      <w:r>
        <w:rPr>
          <w:rFonts w:eastAsia="Noto Sans" w:cs="Noto Sans" w:ascii="Noto Sans" w:hAnsi="Noto Sans"/>
          <w:color w:val="000000"/>
          <w:sz w:val="22"/>
          <w:szCs w:val="22"/>
        </w:rPr>
        <w:t xml:space="preserve">principal realitzar una valoració del sistema educatiu a partir del grau d'assoliment de les competències </w:t>
      </w:r>
      <w:r>
        <w:rPr>
          <w:rFonts w:eastAsia="Noto Sans" w:cs="Noto Sans" w:ascii="Noto Sans" w:hAnsi="Noto Sans"/>
          <w:sz w:val="22"/>
          <w:szCs w:val="22"/>
        </w:rPr>
        <w:t>específiques</w:t>
      </w:r>
      <w:r>
        <w:rPr>
          <w:rFonts w:eastAsia="Noto Sans" w:cs="Noto Sans" w:ascii="Noto Sans" w:hAnsi="Noto Sans"/>
          <w:color w:val="000000"/>
          <w:sz w:val="22"/>
          <w:szCs w:val="22"/>
        </w:rPr>
        <w:t xml:space="preserve"> fixades de manera prescriptiva a les àrees de llengües i matemàtiques i, de manera optativa, a les d'altres àrees o matèries, en nivells intermedis de l’educació primària i de l’educació secundària obligatòria, que complementi la informació obtinguda pels centres a partir dels processos d’avaluació interna i que permeti orientar el canvi educatiu i millorar les competències de l'alumnat. </w:t>
      </w:r>
    </w:p>
    <w:p>
      <w:pPr>
        <w:pStyle w:val="Normal"/>
        <w:rPr>
          <w:rFonts w:ascii="Noto Sans" w:hAnsi="Noto Sans" w:eastAsia="Noto Sans" w:cs="Noto Sans"/>
          <w:sz w:val="22"/>
          <w:szCs w:val="22"/>
        </w:rPr>
      </w:pPr>
      <w:r>
        <w:rPr>
          <w:rFonts w:eastAsia="Noto Sans" w:cs="Noto Sans" w:ascii="Noto Sans" w:hAnsi="Noto Sans"/>
          <w:sz w:val="22"/>
          <w:szCs w:val="22"/>
        </w:rPr>
        <w:t xml:space="preserve">La Comissió d’avaluació de diagnòstic (constituïda a cada centre pel director o per la directora, cap d’estudis, un membre de l’ EOSA, un membre de la CCP i un tutor o tutora del nivell educatiu avaluat), recollida a les resolucions anuals, té per funció, a més de planificar i supervisar l’aplicació de l’avaluació, informar els diferents òrgans de coordinació didàctica i els membres del Consell Escolar dels resultats per propiciar un procés d’avaluació interna del centre. Aquest document té per finalitat afavorir l’anàlisi i la presa de decisions que condueixin a adoptar les oportunes mesures de millora. Per altra part, s'ha d'incloure a la PGA un Pla de millora que ha de contenir les reflexions  i les accions que se’n deriven. </w:t>
      </w:r>
    </w:p>
    <w:p>
      <w:pPr>
        <w:pStyle w:val="Normal"/>
        <w:rPr>
          <w:rFonts w:ascii="Noto Sans" w:hAnsi="Noto Sans" w:eastAsia="Noto Sans" w:cs="Noto Sans"/>
          <w:sz w:val="22"/>
          <w:szCs w:val="22"/>
        </w:rPr>
      </w:pPr>
      <w:r>
        <w:rPr>
          <w:rFonts w:eastAsia="Noto Sans" w:cs="Noto Sans" w:ascii="Noto Sans" w:hAnsi="Noto Sans"/>
          <w:sz w:val="22"/>
          <w:szCs w:val="22"/>
        </w:rPr>
        <w:t>Una vegada realitzades i corregides les proves, l’IAQSE  elabora un informe de resultats per a cada centre educatiu. Correspon al centre l'anàlisi d’aquests resultats i l’elaboració dels conseqüents plans de millora.</w:t>
      </w:r>
    </w:p>
    <w:p>
      <w:pPr>
        <w:pStyle w:val="Normal"/>
        <w:rPr>
          <w:rFonts w:ascii="Noto Sans" w:hAnsi="Noto Sans" w:eastAsia="Noto Sans" w:cs="Noto Sans"/>
          <w:sz w:val="22"/>
          <w:szCs w:val="22"/>
        </w:rPr>
      </w:pPr>
      <w:r>
        <w:rPr>
          <w:rFonts w:eastAsia="Noto Sans" w:cs="Noto Sans" w:ascii="Noto Sans" w:hAnsi="Noto Sans"/>
          <w:sz w:val="22"/>
          <w:szCs w:val="22"/>
        </w:rPr>
        <w:t xml:space="preserve">La principal utilitat de les avaluacions de diagnòstic és la reflexió i l’anàlisi dels resultats, per part dels centres, amb la finalitat de millorar-ne el funcionament, els processos d’ensenyament i aprenentatge, i el grau d’assoliment de les competències clau previstes en el currículum. </w:t>
      </w:r>
    </w:p>
    <w:p>
      <w:pPr>
        <w:pStyle w:val="Normal"/>
        <w:rPr>
          <w:rFonts w:ascii="Noto Sans" w:hAnsi="Noto Sans" w:eastAsia="Noto Sans" w:cs="Noto Sans"/>
        </w:rPr>
      </w:pPr>
      <w:r>
        <w:rPr>
          <w:rFonts w:eastAsia="Noto Sans" w:cs="Noto Sans" w:ascii="Noto Sans" w:hAnsi="Noto Sans"/>
          <w:sz w:val="22"/>
          <w:szCs w:val="22"/>
        </w:rPr>
        <w:t xml:space="preserve">Les anàlisis derivades dels resultats obtinguts, en relació amb els resultats de referència segons la titularitat de centre, respecte als resultats obtinguts per illa o per comunitat, han de servir per donar suport i complementar el procés d’autoavaluació́ de cada centre. </w:t>
      </w:r>
    </w:p>
    <w:p>
      <w:pPr>
        <w:pStyle w:val="Normal"/>
        <w:rPr>
          <w:rFonts w:ascii="Noto Sans" w:hAnsi="Noto Sans" w:eastAsia="Noto Sans" w:cs="Noto Sans"/>
          <w:sz w:val="22"/>
          <w:szCs w:val="22"/>
        </w:rPr>
      </w:pPr>
      <w:r>
        <w:rPr>
          <w:rFonts w:eastAsia="Noto Sans" w:cs="Noto Sans" w:ascii="Noto Sans" w:hAnsi="Noto Sans"/>
          <w:sz w:val="22"/>
          <w:szCs w:val="22"/>
        </w:rPr>
        <w:t xml:space="preserve">Els centres educatius són responsables d'elaborar els corresponents plans de millora, d'incorporar a la planificació educativa les mesures que se'n derivin, així com d'executar-les i fer el traspàs de la informació a la comunitat educativa. </w:t>
      </w:r>
    </w:p>
    <w:p>
      <w:pPr>
        <w:pStyle w:val="Normal"/>
        <w:pBdr/>
        <w:rPr>
          <w:rFonts w:ascii="Noto Sans" w:hAnsi="Noto Sans" w:eastAsia="Noto Sans" w:cs="Noto Sans"/>
          <w:sz w:val="22"/>
          <w:szCs w:val="22"/>
        </w:rPr>
      </w:pPr>
      <w:r>
        <w:rPr>
          <w:rFonts w:eastAsia="Noto Sans" w:cs="Noto Sans" w:ascii="Noto Sans" w:hAnsi="Noto Sans"/>
          <w:color w:val="000000"/>
          <w:sz w:val="22"/>
          <w:szCs w:val="22"/>
        </w:rPr>
        <w:t>Un cop rebut l’informe de resultats elaborats per l</w:t>
      </w:r>
      <w:r>
        <w:rPr>
          <w:rFonts w:eastAsia="Noto Sans" w:cs="Noto Sans" w:ascii="Noto Sans" w:hAnsi="Noto Sans"/>
          <w:sz w:val="22"/>
          <w:szCs w:val="22"/>
        </w:rPr>
        <w:t xml:space="preserve">’ </w:t>
      </w:r>
      <w:r>
        <w:rPr>
          <w:rFonts w:eastAsia="Noto Sans" w:cs="Noto Sans" w:ascii="Noto Sans" w:hAnsi="Noto Sans"/>
          <w:color w:val="000000"/>
          <w:sz w:val="22"/>
          <w:szCs w:val="22"/>
        </w:rPr>
        <w:t xml:space="preserve">IAQSE, la Comissió d’avaluació de diagnòstic ha d'informar els diferents òrgans de coordinació didàctica del centre i els membres del </w:t>
      </w:r>
      <w:r>
        <w:rPr>
          <w:rFonts w:eastAsia="Noto Sans" w:cs="Noto Sans" w:ascii="Noto Sans" w:hAnsi="Noto Sans"/>
          <w:sz w:val="22"/>
          <w:szCs w:val="22"/>
        </w:rPr>
        <w:t>C</w:t>
      </w:r>
      <w:r>
        <w:rPr>
          <w:rFonts w:eastAsia="Noto Sans" w:cs="Noto Sans" w:ascii="Noto Sans" w:hAnsi="Noto Sans"/>
          <w:color w:val="000000"/>
          <w:sz w:val="22"/>
          <w:szCs w:val="22"/>
        </w:rPr>
        <w:t xml:space="preserve">onsell </w:t>
      </w:r>
      <w:r>
        <w:rPr>
          <w:rFonts w:eastAsia="Noto Sans" w:cs="Noto Sans" w:ascii="Noto Sans" w:hAnsi="Noto Sans"/>
          <w:sz w:val="22"/>
          <w:szCs w:val="22"/>
        </w:rPr>
        <w:t>E</w:t>
      </w:r>
      <w:r>
        <w:rPr>
          <w:rFonts w:eastAsia="Noto Sans" w:cs="Noto Sans" w:ascii="Noto Sans" w:hAnsi="Noto Sans"/>
          <w:color w:val="000000"/>
          <w:sz w:val="22"/>
          <w:szCs w:val="22"/>
        </w:rPr>
        <w:t>scolar dels resultats, per tal de propiciar un procés d’avaluació interna que afavoreixi l’anàlisi i la presa de decisions que condueixin a adoptar les mesures de millora oportunes. Aquest procés, supervisat  per Inspecci</w:t>
      </w:r>
      <w:r>
        <w:rPr>
          <w:rFonts w:eastAsia="Noto Sans" w:cs="Noto Sans" w:ascii="Noto Sans" w:hAnsi="Noto Sans"/>
          <w:sz w:val="22"/>
          <w:szCs w:val="22"/>
        </w:rPr>
        <w:t>ó Educativa, ha de concloure amb l’elaboració d’un informe que contengui les reflexions i els plans de millora que se’n derivin.</w:t>
      </w:r>
    </w:p>
    <w:p>
      <w:pPr>
        <w:pStyle w:val="Normal"/>
        <w:rPr>
          <w:rFonts w:ascii="Noto Sans" w:hAnsi="Noto Sans" w:eastAsia="Noto Sans" w:cs="Noto Sans"/>
          <w:sz w:val="22"/>
          <w:szCs w:val="22"/>
        </w:rPr>
      </w:pPr>
      <w:r>
        <w:rPr>
          <w:rFonts w:eastAsia="Noto Sans" w:cs="Noto Sans" w:ascii="Noto Sans" w:hAnsi="Noto Sans"/>
          <w:sz w:val="22"/>
          <w:szCs w:val="22"/>
        </w:rPr>
        <w:t>D’acord a la normativa vigent, anualment es preveu la realització de proves d’avaluació de diagnòstic a 4t d’educació primària (EP) i a 2n de l’educació secundària obligatòria (ESO) i, periòdicament, també, proves d’avaluació externes de final d’etapa, tant a 6è d’EP com a 4t d’ESO.</w:t>
      </w:r>
    </w:p>
    <w:p>
      <w:pPr>
        <w:pStyle w:val="Normal"/>
        <w:rPr>
          <w:rFonts w:ascii="Noto Sans" w:hAnsi="Noto Sans" w:eastAsia="Noto Sans" w:cs="Noto Sans"/>
          <w:sz w:val="22"/>
          <w:szCs w:val="22"/>
        </w:rPr>
      </w:pPr>
      <w:r>
        <w:rPr>
          <w:rFonts w:eastAsia="Noto Sans" w:cs="Noto Sans" w:ascii="Noto Sans" w:hAnsi="Noto Sans"/>
          <w:sz w:val="22"/>
          <w:szCs w:val="22"/>
        </w:rPr>
        <w:t>En conseqüència, els processos d’anàlisi i reflexió dels resultats obtinguts en les proves d’avaluació externes, l’elaboració  dels plans de millora de centre que se'n deriven, així com la seva revisió i actualització, han d’esdevenir processos habituals per part dels centres educatius. Aquest document vol ser una eina de suport en aquest procés.</w:t>
      </w:r>
    </w:p>
    <w:p>
      <w:pPr>
        <w:pStyle w:val="Normal"/>
        <w:rPr>
          <w:rFonts w:ascii="Noto Sans" w:hAnsi="Noto Sans" w:eastAsia="Noto Sans" w:cs="Noto Sans"/>
          <w:sz w:val="22"/>
          <w:szCs w:val="22"/>
        </w:rPr>
      </w:pPr>
      <w:r>
        <w:rPr>
          <w:rFonts w:eastAsia="Noto Sans" w:cs="Noto Sans" w:ascii="Noto Sans" w:hAnsi="Noto Sans"/>
          <w:sz w:val="22"/>
          <w:szCs w:val="22"/>
        </w:rPr>
      </w:r>
    </w:p>
    <w:p>
      <w:pPr>
        <w:pStyle w:val="Normal"/>
        <w:rPr>
          <w:rFonts w:ascii="Noto Sans" w:hAnsi="Noto Sans" w:eastAsia="Noto Sans" w:cs="Noto Sans"/>
          <w:b/>
          <w:b/>
          <w:color w:val="000000"/>
          <w:sz w:val="22"/>
          <w:szCs w:val="22"/>
        </w:rPr>
      </w:pPr>
      <w:r>
        <w:rPr>
          <w:rFonts w:eastAsia="Noto Sans" w:cs="Noto Sans" w:ascii="Noto Sans" w:hAnsi="Noto Sans"/>
          <w:b/>
          <w:color w:val="000000"/>
          <w:sz w:val="22"/>
          <w:szCs w:val="22"/>
        </w:rPr>
      </w:r>
      <w:r>
        <w:br w:type="page"/>
      </w:r>
    </w:p>
    <w:p>
      <w:pPr>
        <w:pStyle w:val="Normal"/>
        <w:widowControl w:val="false"/>
        <w:pBdr/>
        <w:ind w:right="234" w:hanging="0"/>
        <w:rPr>
          <w:rFonts w:ascii="Noto Sans" w:hAnsi="Noto Sans" w:eastAsia="Noto Sans" w:cs="Noto Sans"/>
          <w:b/>
          <w:b/>
          <w:color w:val="000000"/>
          <w:sz w:val="22"/>
          <w:szCs w:val="22"/>
        </w:rPr>
      </w:pPr>
      <w:r>
        <w:rPr>
          <w:rFonts w:eastAsia="Noto Sans" w:cs="Noto Sans" w:ascii="Noto Sans" w:hAnsi="Noto Sans"/>
          <w:b/>
          <w:color w:val="000000"/>
          <w:sz w:val="22"/>
          <w:szCs w:val="22"/>
        </w:rPr>
      </w:r>
    </w:p>
    <w:p>
      <w:pPr>
        <w:pStyle w:val="Normal"/>
        <w:widowControl w:val="false"/>
        <w:pBdr/>
        <w:ind w:right="234" w:hanging="0"/>
        <w:rPr>
          <w:color w:val="000000"/>
        </w:rPr>
      </w:pPr>
      <w:r>
        <w:rPr>
          <w:rFonts w:eastAsia="Noto Sans" w:cs="Noto Sans" w:ascii="Noto Sans" w:hAnsi="Noto Sans"/>
          <w:b/>
          <w:color w:val="000000"/>
          <w:sz w:val="22"/>
          <w:szCs w:val="22"/>
        </w:rPr>
        <w:t>B. NORMATIVA</w:t>
      </w:r>
    </w:p>
    <w:p>
      <w:pPr>
        <w:pStyle w:val="Normal"/>
        <w:widowControl w:val="false"/>
        <w:pBdr/>
        <w:ind w:right="234" w:hanging="0"/>
        <w:rPr>
          <w:color w:val="000000"/>
        </w:rPr>
      </w:pPr>
      <w:r>
        <w:rPr>
          <w:rFonts w:eastAsia="Noto Sans" w:cs="Noto Sans" w:ascii="Noto Sans" w:hAnsi="Noto Sans"/>
          <w:b/>
          <w:color w:val="000000"/>
          <w:sz w:val="22"/>
          <w:szCs w:val="22"/>
        </w:rPr>
        <w:t>Llei orgànica 3/2020, de 29 de desembre, per la qual es modifica la Llei orgànica 2/2006, de 3 de maig, d’educació. (BOE núm. 340, de 30 de desembre de 2020)</w:t>
      </w:r>
    </w:p>
    <w:p>
      <w:pPr>
        <w:pStyle w:val="Normal"/>
        <w:widowControl w:val="false"/>
        <w:pBdr/>
        <w:ind w:right="234" w:hanging="0"/>
        <w:rPr>
          <w:color w:val="000000"/>
        </w:rPr>
      </w:pPr>
      <w:r>
        <w:rPr>
          <w:rFonts w:eastAsia="Noto Sans" w:cs="Noto Sans" w:ascii="Noto Sans" w:hAnsi="Noto Sans"/>
          <w:color w:val="000000"/>
          <w:sz w:val="22"/>
          <w:szCs w:val="22"/>
        </w:rPr>
        <w:t>L'article 21 estableix l’avaluació de diagnòstic a l’etapa d’</w:t>
      </w:r>
      <w:r>
        <w:rPr>
          <w:rFonts w:eastAsia="Noto Sans" w:cs="Noto Sans" w:ascii="Noto Sans" w:hAnsi="Noto Sans"/>
          <w:color w:val="000000" w:themeColor="text1"/>
          <w:sz w:val="22"/>
          <w:szCs w:val="22"/>
        </w:rPr>
        <w:t>e</w:t>
      </w:r>
      <w:r>
        <w:rPr>
          <w:rFonts w:eastAsia="Noto Sans" w:cs="Noto Sans" w:ascii="Noto Sans" w:hAnsi="Noto Sans"/>
          <w:color w:val="000000"/>
          <w:sz w:val="22"/>
          <w:szCs w:val="22"/>
        </w:rPr>
        <w:t xml:space="preserve">ducació </w:t>
      </w:r>
      <w:r>
        <w:rPr>
          <w:rFonts w:eastAsia="Noto Sans" w:cs="Noto Sans" w:ascii="Noto Sans" w:hAnsi="Noto Sans"/>
          <w:color w:val="000000" w:themeColor="text1"/>
          <w:sz w:val="22"/>
          <w:szCs w:val="22"/>
        </w:rPr>
        <w:t>p</w:t>
      </w:r>
      <w:r>
        <w:rPr>
          <w:rFonts w:eastAsia="Noto Sans" w:cs="Noto Sans" w:ascii="Noto Sans" w:hAnsi="Noto Sans"/>
          <w:color w:val="000000"/>
          <w:sz w:val="22"/>
          <w:szCs w:val="22"/>
        </w:rPr>
        <w:t>rimària.</w:t>
      </w:r>
      <w:r>
        <w:rPr>
          <w:rFonts w:eastAsia="Noto Sans" w:cs="Noto Sans" w:ascii="Noto Sans" w:hAnsi="Noto Sans"/>
          <w:i/>
          <w:color w:val="000000"/>
          <w:sz w:val="22"/>
          <w:szCs w:val="22"/>
        </w:rPr>
        <w:t xml:space="preserve"> En el quart curs d’educació primària tots els centres han de dur a terme una avaluació de diagnòstic de les competències adquirides pel seu alumnat. Aquesta avaluació, que és responsabilitat de les administracions educatives, té un caràcter informatiu, formatiu i orientador per als centres, per al professorat, per a l’alumnat i les seves famílies i per al conjunt de la comunitat educativa. </w:t>
      </w:r>
      <w:r>
        <w:rPr>
          <w:rFonts w:eastAsia="Noto Sans" w:cs="Noto Sans" w:ascii="Noto Sans" w:hAnsi="Noto Sans"/>
          <w:color w:val="000000"/>
          <w:sz w:val="22"/>
          <w:szCs w:val="22"/>
        </w:rPr>
        <w:t>Aquestes avaluacions, de caràcter censal, tenen com marc de referència el que estableix l’article 144.1 d’aquesta Llei.</w:t>
      </w:r>
    </w:p>
    <w:p>
      <w:pPr>
        <w:pStyle w:val="Normal"/>
        <w:widowControl w:val="false"/>
        <w:pBdr/>
        <w:ind w:right="234" w:hanging="0"/>
        <w:rPr>
          <w:rFonts w:ascii="Noto Sans" w:hAnsi="Noto Sans" w:eastAsia="Noto Sans" w:cs="Noto Sans"/>
          <w:color w:val="000000"/>
          <w:sz w:val="22"/>
          <w:szCs w:val="22"/>
        </w:rPr>
      </w:pPr>
      <w:r>
        <w:rPr>
          <w:rFonts w:eastAsia="Noto Sans" w:cs="Noto Sans" w:ascii="Noto Sans" w:hAnsi="Noto Sans"/>
          <w:color w:val="000000"/>
          <w:sz w:val="22"/>
          <w:szCs w:val="22"/>
        </w:rPr>
        <w:t>En el marc dels plans de millora als quals es refereix l’article 121 i a partir de l’anàlisi dels resultats de l’avaluació de diagnòstic, les administracions educatives han de promoure que els centres elaborin propostes d’actuació que ajudin l’alumnat a assolir les competències establertes, permetin adoptar mesures de millora de la qualitat i l’ equitat de l’educació i orientin la pràctica docent.</w:t>
      </w:r>
    </w:p>
    <w:p>
      <w:pPr>
        <w:pStyle w:val="Normal"/>
        <w:widowControl w:val="false"/>
        <w:pBdr/>
        <w:ind w:right="234" w:hanging="0"/>
        <w:rPr>
          <w:color w:val="000000"/>
        </w:rPr>
      </w:pPr>
      <w:r>
        <w:rPr>
          <w:rFonts w:eastAsia="Noto Sans" w:cs="Noto Sans" w:ascii="Noto Sans" w:hAnsi="Noto Sans"/>
          <w:color w:val="000000"/>
          <w:sz w:val="22"/>
          <w:szCs w:val="22"/>
        </w:rPr>
        <w:t xml:space="preserve">En l’article 29 de la mateixa referència normativa es prescriu que </w:t>
      </w:r>
      <w:r>
        <w:rPr>
          <w:rFonts w:eastAsia="Noto Sans" w:cs="Noto Sans" w:ascii="Noto Sans" w:hAnsi="Noto Sans"/>
          <w:i/>
          <w:color w:val="000000"/>
          <w:sz w:val="22"/>
          <w:szCs w:val="22"/>
        </w:rPr>
        <w:t xml:space="preserve">en el segon curs d'educació secundària obligatòria tots els centres han de dur a terme una avaluació de diagnòstic de les competències adquirides pel seu alumnat. Aquesta avaluació, que és responsabilitat de les administracions educatives, té un caràcter informatiu, formatiu i orientador per als centres, per al professorat, per a l'alumnat i les seves famílies i per al conjunt de la comunitat educativa. Aquestes avaluacions, de caràcter censal tenen com marc de referència el que estableix l'article 144.1 d'aquesta Llei. </w:t>
      </w:r>
    </w:p>
    <w:p>
      <w:pPr>
        <w:pStyle w:val="Normal"/>
        <w:widowControl w:val="false"/>
        <w:pBdr/>
        <w:ind w:right="234" w:hanging="0"/>
        <w:rPr>
          <w:color w:val="000000"/>
        </w:rPr>
      </w:pPr>
      <w:r>
        <w:rPr>
          <w:rFonts w:eastAsia="Noto Sans" w:cs="Noto Sans" w:ascii="Noto Sans" w:hAnsi="Noto Sans"/>
          <w:color w:val="000000"/>
          <w:sz w:val="22"/>
          <w:szCs w:val="22"/>
        </w:rPr>
        <w:t>En l'article 142 d'aquesta llei s'explicita que</w:t>
      </w:r>
      <w:r>
        <w:rPr>
          <w:rFonts w:eastAsia="Noto Sans" w:cs="Noto Sans" w:ascii="Noto Sans" w:hAnsi="Noto Sans"/>
          <w:i/>
          <w:color w:val="000000"/>
          <w:sz w:val="22"/>
          <w:szCs w:val="22"/>
        </w:rPr>
        <w:t xml:space="preserve"> les administracions educatives, mitjançant els organismes corresponents que determinin, han d'avaluar el sistema educatiu dins l'àmbit de les seves competències i que els equips directius i el professorat dels centres docents hauran de col·laborar amb les administracions educatives en les avaluacions que s'hi realitzin. </w:t>
      </w:r>
    </w:p>
    <w:p>
      <w:pPr>
        <w:pStyle w:val="Normal"/>
        <w:widowControl w:val="false"/>
        <w:pBdr/>
        <w:ind w:right="234" w:hanging="0"/>
        <w:rPr>
          <w:color w:val="000000"/>
        </w:rPr>
      </w:pPr>
      <w:r>
        <w:rPr>
          <w:rFonts w:eastAsia="Noto Sans" w:cs="Noto Sans" w:ascii="Noto Sans" w:hAnsi="Noto Sans"/>
          <w:color w:val="000000"/>
          <w:sz w:val="22"/>
          <w:szCs w:val="22"/>
        </w:rPr>
        <w:t>Així mateix, estableix en l'article 144 que</w:t>
      </w:r>
      <w:r>
        <w:rPr>
          <w:rFonts w:eastAsia="Noto Sans" w:cs="Noto Sans" w:ascii="Noto Sans" w:hAnsi="Noto Sans"/>
          <w:i/>
          <w:color w:val="000000"/>
          <w:sz w:val="22"/>
          <w:szCs w:val="22"/>
        </w:rPr>
        <w:t xml:space="preserve"> correspon a les administracions educatives, en el marc de les seves competències respectives, desenvolupar i controlar les avaluacions de diagnòstic en les quals participin els centres que en depenen i proporcionar els models i suports pertinents a fi que tots els centres puguin dur a terme de manera adequada aquestes avaluacions. </w:t>
      </w:r>
    </w:p>
    <w:p>
      <w:pPr>
        <w:pStyle w:val="Normal"/>
        <w:widowControl w:val="false"/>
        <w:pBdr/>
        <w:ind w:right="234" w:hanging="0"/>
        <w:rPr>
          <w:color w:val="000000"/>
        </w:rPr>
      </w:pPr>
      <w:r>
        <w:rPr>
          <w:rFonts w:eastAsia="Noto Sans" w:cs="Noto Sans" w:ascii="Noto Sans" w:hAnsi="Noto Sans"/>
          <w:color w:val="000000"/>
          <w:sz w:val="22"/>
          <w:szCs w:val="22"/>
        </w:rPr>
        <w:t>D'altra banda, aquesta mateixa llei a l'article 132 estableix entre les competències del director o directora la d</w:t>
      </w:r>
      <w:r>
        <w:rPr>
          <w:rFonts w:eastAsia="Noto Sans" w:cs="Noto Sans" w:ascii="Noto Sans" w:hAnsi="Noto Sans"/>
          <w:i/>
          <w:color w:val="000000"/>
          <w:sz w:val="22"/>
          <w:szCs w:val="22"/>
        </w:rPr>
        <w:t xml:space="preserve">'exercir el comandament de tot el personal adscrit al centre </w:t>
      </w:r>
      <w:r>
        <w:rPr>
          <w:rFonts w:eastAsia="Noto Sans" w:cs="Noto Sans" w:ascii="Noto Sans" w:hAnsi="Noto Sans"/>
          <w:color w:val="000000"/>
          <w:sz w:val="22"/>
          <w:szCs w:val="22"/>
        </w:rPr>
        <w:t>i la d</w:t>
      </w:r>
      <w:r>
        <w:rPr>
          <w:rFonts w:eastAsia="Noto Sans" w:cs="Noto Sans" w:ascii="Noto Sans" w:hAnsi="Noto Sans"/>
          <w:i/>
          <w:color w:val="000000"/>
          <w:sz w:val="22"/>
          <w:szCs w:val="22"/>
        </w:rPr>
        <w:t xml:space="preserve">'impulsar </w:t>
      </w:r>
      <w:r>
        <w:rPr>
          <w:rFonts w:eastAsia="Noto Sans" w:cs="Noto Sans" w:ascii="Noto Sans" w:hAnsi="Noto Sans"/>
          <w:i/>
          <w:sz w:val="22"/>
          <w:szCs w:val="22"/>
        </w:rPr>
        <w:t>les</w:t>
      </w:r>
      <w:r>
        <w:rPr>
          <w:rFonts w:eastAsia="Noto Sans" w:cs="Noto Sans" w:ascii="Noto Sans" w:hAnsi="Noto Sans"/>
          <w:i/>
          <w:color w:val="000000"/>
          <w:sz w:val="22"/>
          <w:szCs w:val="22"/>
        </w:rPr>
        <w:t xml:space="preserve"> avaluacions internes del centre i col·laborar en les avaluacions externes i en l'avaluació  del professorat </w:t>
      </w:r>
      <w:r>
        <w:rPr>
          <w:rFonts w:eastAsia="Noto Sans" w:cs="Noto Sans" w:ascii="Noto Sans" w:hAnsi="Noto Sans"/>
          <w:color w:val="000000"/>
          <w:sz w:val="22"/>
          <w:szCs w:val="22"/>
        </w:rPr>
        <w:t xml:space="preserve">i, a l'article 91, entre les funcions del professorat, la de </w:t>
      </w:r>
      <w:r>
        <w:rPr>
          <w:rFonts w:eastAsia="Noto Sans" w:cs="Noto Sans" w:ascii="Noto Sans" w:hAnsi="Noto Sans"/>
          <w:i/>
          <w:color w:val="000000"/>
          <w:sz w:val="22"/>
          <w:szCs w:val="22"/>
        </w:rPr>
        <w:t xml:space="preserve">participar en els plans d'avaluació que determinin les administracions educatives o els propis centres. </w:t>
      </w:r>
    </w:p>
    <w:p>
      <w:pPr>
        <w:pStyle w:val="Normal"/>
        <w:widowControl w:val="false"/>
        <w:pBdr/>
        <w:ind w:right="234" w:hanging="0"/>
        <w:rPr>
          <w:color w:val="000000"/>
        </w:rPr>
      </w:pPr>
      <w:r>
        <w:rPr>
          <w:rFonts w:eastAsia="Noto Sans" w:cs="Noto Sans" w:ascii="Noto Sans" w:hAnsi="Noto Sans"/>
          <w:b/>
          <w:color w:val="000000"/>
          <w:sz w:val="22"/>
          <w:szCs w:val="22"/>
        </w:rPr>
        <w:t>Llei 1/2022, de 8 de març, d’educació de les Illes Balears (BOE núm. 136 de 8/06/2022)</w:t>
      </w:r>
    </w:p>
    <w:p>
      <w:pPr>
        <w:pStyle w:val="Normal"/>
        <w:widowControl w:val="false"/>
        <w:pBdr/>
        <w:ind w:right="234" w:hanging="0"/>
        <w:rPr>
          <w:color w:val="000000"/>
        </w:rPr>
      </w:pPr>
      <w:r>
        <w:rPr>
          <w:rFonts w:eastAsia="Noto Sans" w:cs="Noto Sans" w:ascii="Noto Sans" w:hAnsi="Noto Sans"/>
          <w:color w:val="000000"/>
          <w:sz w:val="22"/>
          <w:szCs w:val="22"/>
        </w:rPr>
        <w:t>En l’article 160 fa referència l’avaluació dels centres educatius, tot especificant en el seu punt 2 que</w:t>
      </w:r>
      <w:r>
        <w:rPr>
          <w:rFonts w:eastAsia="Noto Sans" w:cs="Noto Sans" w:ascii="Noto Sans" w:hAnsi="Noto Sans"/>
          <w:i/>
          <w:color w:val="000000"/>
          <w:sz w:val="22"/>
          <w:szCs w:val="22"/>
        </w:rPr>
        <w:t xml:space="preserve"> les avaluacions internes, l’autoavaluació i les avaluacions externes han d'orientar la presa de decisions, que tenen com a finalitat la millora de la qualitat en l’àmbit de l’organització i la gestió dels centres, de les competències professionals docents i dels processos d’aprenentatge dels alumnes</w:t>
      </w:r>
    </w:p>
    <w:p>
      <w:pPr>
        <w:pStyle w:val="Normal"/>
        <w:widowControl w:val="false"/>
        <w:pBdr/>
        <w:ind w:right="234" w:hanging="0"/>
        <w:rPr>
          <w:color w:val="000000"/>
        </w:rPr>
      </w:pPr>
      <w:r>
        <w:rPr>
          <w:rFonts w:eastAsia="Noto Sans" w:cs="Noto Sans" w:ascii="Noto Sans" w:hAnsi="Noto Sans"/>
          <w:color w:val="000000"/>
          <w:sz w:val="22"/>
          <w:szCs w:val="22"/>
        </w:rPr>
        <w:t xml:space="preserve">En el punt 9 de l’article 160 es concreta que </w:t>
      </w:r>
      <w:r>
        <w:rPr>
          <w:rFonts w:eastAsia="Noto Sans" w:cs="Noto Sans" w:ascii="Noto Sans" w:hAnsi="Noto Sans"/>
          <w:i/>
          <w:color w:val="000000"/>
          <w:sz w:val="22"/>
          <w:szCs w:val="22"/>
        </w:rPr>
        <w:t>l’Institut d’Avaluació i Qualitat del Sistema Educatiu de les Illes Balears haurà de realitzar una avaluació, en els termes que estableix aquest article, de tots els centres educatius de les Illes Balears de forma periòdica. Aquesta avaluació periòdica es realitzarà a cada centre almenys un cop cada cinc anys.</w:t>
      </w:r>
    </w:p>
    <w:p>
      <w:pPr>
        <w:pStyle w:val="Normal"/>
        <w:widowControl w:val="false"/>
        <w:pBdr/>
        <w:ind w:right="234" w:hanging="0"/>
        <w:rPr>
          <w:color w:val="000000"/>
        </w:rPr>
      </w:pPr>
      <w:r>
        <w:rPr>
          <w:rFonts w:eastAsia="Noto Sans" w:cs="Noto Sans" w:ascii="Noto Sans" w:hAnsi="Noto Sans"/>
          <w:b/>
          <w:color w:val="000000"/>
          <w:sz w:val="22"/>
          <w:szCs w:val="22"/>
        </w:rPr>
        <w:t>Decret 4/2023 de 13 de febrer, pel qual s'aprova el Reglament orgànic de les escoles infantils públiques, els col·legis d'educació primària, els col·legis d'educació infantil i primària, els col·legis d'educació infantil i primària integrats amb ensenyaments elementals de música, els col·legis d'educació infantil i primària integrats amb educació secundària i els instituts d'educació secundària de la Comunitat Autònoma de les Illes Balears (BOIB de 16 de febrer)</w:t>
      </w:r>
    </w:p>
    <w:p>
      <w:pPr>
        <w:pStyle w:val="Normal"/>
        <w:widowControl w:val="false"/>
        <w:pBdr/>
        <w:ind w:right="234" w:hanging="0"/>
        <w:rPr>
          <w:color w:val="000000"/>
        </w:rPr>
      </w:pPr>
      <w:r>
        <w:rPr>
          <w:rFonts w:eastAsia="Noto Sans" w:cs="Noto Sans" w:ascii="Noto Sans" w:hAnsi="Noto Sans"/>
          <w:color w:val="000000"/>
          <w:sz w:val="22"/>
          <w:szCs w:val="22"/>
        </w:rPr>
        <w:t xml:space="preserve">S’estableix en l'article 21 que </w:t>
      </w:r>
      <w:r>
        <w:rPr>
          <w:rFonts w:eastAsia="Noto Sans" w:cs="Noto Sans" w:ascii="Noto Sans" w:hAnsi="Noto Sans"/>
          <w:i/>
          <w:color w:val="000000"/>
          <w:sz w:val="22"/>
          <w:szCs w:val="22"/>
        </w:rPr>
        <w:t xml:space="preserve">en l'avaluació externa dels centres, que han de dur a terme el Departament d'Inspecció Educativa (DIE) i l'Institut d'Avaluació i Qualitat del Sistema Educatiu (IAQSE), hi han de col·laborar, en els aspectes que específicament es determinin, els òrgans col·legiats de govern i l'equip directiu, els òrgans de coordinació docent i els serveis externs, així com els diferents sectors de la comunitat educativa i les seves organitzacions», </w:t>
      </w:r>
      <w:r>
        <w:rPr>
          <w:rFonts w:eastAsia="Noto Sans" w:cs="Noto Sans" w:ascii="Noto Sans" w:hAnsi="Noto Sans"/>
          <w:color w:val="000000"/>
          <w:sz w:val="22"/>
          <w:szCs w:val="22"/>
        </w:rPr>
        <w:t>i en l'article 29, que recull les funcions de la direcció en relació amb l'avaluació del centre, hi figura la d'</w:t>
      </w:r>
      <w:r>
        <w:rPr>
          <w:rFonts w:eastAsia="Noto Sans" w:cs="Noto Sans" w:ascii="Noto Sans" w:hAnsi="Noto Sans"/>
          <w:i/>
          <w:color w:val="000000"/>
          <w:sz w:val="22"/>
          <w:szCs w:val="22"/>
        </w:rPr>
        <w:t>«impulsar les avaluacions internes del centre i col·laborar en les avaluacions externes i en l'avaluació del professorat</w:t>
      </w:r>
      <w:r>
        <w:rPr>
          <w:rFonts w:eastAsia="Noto Sans" w:cs="Noto Sans" w:ascii="Noto Sans" w:hAnsi="Noto Sans"/>
          <w:color w:val="000000"/>
          <w:sz w:val="22"/>
          <w:szCs w:val="22"/>
        </w:rPr>
        <w:t xml:space="preserve"> </w:t>
      </w:r>
    </w:p>
    <w:p>
      <w:pPr>
        <w:pStyle w:val="Normal"/>
        <w:widowControl w:val="false"/>
        <w:pBdr/>
        <w:ind w:right="234" w:hanging="0"/>
        <w:rPr>
          <w:color w:val="000000"/>
        </w:rPr>
      </w:pPr>
      <w:r>
        <w:rPr>
          <w:rFonts w:eastAsia="Noto Sans" w:cs="Noto Sans" w:ascii="Noto Sans" w:hAnsi="Noto Sans"/>
          <w:color w:val="000000"/>
          <w:sz w:val="22"/>
          <w:szCs w:val="22"/>
        </w:rPr>
        <w:t>La disposició addicional segona d'aquest Decret ordena també que</w:t>
      </w:r>
      <w:r>
        <w:rPr>
          <w:rFonts w:eastAsia="Noto Sans" w:cs="Noto Sans" w:ascii="Noto Sans" w:hAnsi="Noto Sans"/>
          <w:i/>
          <w:color w:val="000000"/>
          <w:sz w:val="22"/>
          <w:szCs w:val="22"/>
        </w:rPr>
        <w:t xml:space="preserve"> als centres privats, concertats i no concertats, seran d'aplicació els principis continguts als articles 12, 13, 16 i 21 sobre autonomia pedagògica i avaluació externa dels centres, sense perjudici de la seva autonomia organitzativa. </w:t>
      </w:r>
    </w:p>
    <w:p>
      <w:pPr>
        <w:pStyle w:val="Normal"/>
        <w:widowControl w:val="false"/>
        <w:pBdr/>
        <w:ind w:right="234" w:hanging="0"/>
        <w:rPr>
          <w:rFonts w:ascii="Noto Sans" w:hAnsi="Noto Sans" w:eastAsia="Noto Sans" w:cs="Noto Sans"/>
          <w:b/>
          <w:b/>
          <w:color w:val="000000"/>
          <w:sz w:val="22"/>
          <w:szCs w:val="22"/>
        </w:rPr>
      </w:pPr>
      <w:r>
        <w:rPr>
          <w:rFonts w:eastAsia="Noto Sans" w:cs="Noto Sans" w:ascii="Noto Sans" w:hAnsi="Noto Sans"/>
          <w:b/>
          <w:color w:val="000000"/>
          <w:sz w:val="22"/>
          <w:szCs w:val="22"/>
        </w:rPr>
      </w:r>
    </w:p>
    <w:p>
      <w:pPr>
        <w:pStyle w:val="Normal"/>
        <w:widowControl w:val="false"/>
        <w:pBdr/>
        <w:ind w:right="234" w:hanging="0"/>
        <w:rPr>
          <w:color w:val="000000"/>
        </w:rPr>
      </w:pPr>
      <w:r>
        <w:rPr>
          <w:rFonts w:eastAsia="Noto Sans" w:cs="Noto Sans" w:ascii="Noto Sans" w:hAnsi="Noto Sans"/>
          <w:b/>
          <w:color w:val="000000"/>
          <w:sz w:val="22"/>
          <w:szCs w:val="22"/>
        </w:rPr>
        <w:t>Decret 31/2022, d'1 d'agost, pel qual s’estableix el currículum de l’educació primària a les Illes Balears (BOIB núm.101, de 2 d’agost de 2022)</w:t>
      </w:r>
    </w:p>
    <w:p>
      <w:pPr>
        <w:pStyle w:val="Normal"/>
        <w:pBdr/>
        <w:spacing w:lineRule="auto" w:line="240" w:before="0" w:after="0"/>
        <w:rPr>
          <w:rFonts w:ascii="Noto Sans" w:hAnsi="Noto Sans" w:eastAsia="Noto Sans" w:cs="Noto Sans"/>
          <w:i/>
          <w:i/>
          <w:color w:val="000000"/>
          <w:sz w:val="22"/>
          <w:szCs w:val="22"/>
        </w:rPr>
      </w:pPr>
      <w:r>
        <w:rPr>
          <w:rFonts w:eastAsia="Noto Sans" w:cs="Noto Sans" w:ascii="Noto Sans" w:hAnsi="Noto Sans"/>
          <w:color w:val="000000"/>
          <w:sz w:val="22"/>
          <w:szCs w:val="22"/>
        </w:rPr>
        <w:t xml:space="preserve">En el preàmbul del Decret s’esmenta que </w:t>
      </w:r>
      <w:r>
        <w:rPr>
          <w:rFonts w:eastAsia="Noto Sans" w:cs="Noto Sans" w:ascii="Noto Sans" w:hAnsi="Noto Sans"/>
          <w:i/>
          <w:color w:val="000000"/>
          <w:sz w:val="22"/>
          <w:szCs w:val="22"/>
        </w:rPr>
        <w:t xml:space="preserve">Pel que fa a les avaluacions de diagnòstic, es preveu que en el quart curs d'educació primària els centres avaluïn les competències adquirides pels seus alumnes. Aquesta avaluació tindrà caràcter informatiu, formatiu i orientador per als centres, per als alumnes, per a les mares, pares o tutors legals i el conjunt de la comunitat educativa. A partir de l'anàlisi dels resultats d'aquesta avaluació i de l'estudi de les seves causes, la Conselleria d'Educació i Formació Professional promourà que els centres educatius desenvolupin plans d'actuació i adoptin mesures de millora de la qualitat i l'equitat de l'educació. En cap cas aquestes avaluacions es faran servir per establir </w:t>
      </w:r>
      <w:r>
        <w:rPr>
          <w:rFonts w:eastAsia="Noto Sans" w:cs="Noto Sans" w:ascii="Noto Sans" w:hAnsi="Noto Sans"/>
          <w:i/>
          <w:sz w:val="22"/>
          <w:szCs w:val="22"/>
        </w:rPr>
        <w:t>r</w:t>
      </w:r>
      <w:r>
        <w:rPr>
          <w:rFonts w:eastAsia="Noto Sans" w:cs="Noto Sans" w:ascii="Noto Sans" w:hAnsi="Noto Sans"/>
          <w:i/>
          <w:color w:val="000000"/>
          <w:sz w:val="22"/>
          <w:szCs w:val="22"/>
        </w:rPr>
        <w:t>ànquings entre centres.</w:t>
      </w:r>
    </w:p>
    <w:p>
      <w:pPr>
        <w:pStyle w:val="Normal"/>
        <w:pBdr/>
        <w:spacing w:lineRule="auto" w:line="240" w:before="0" w:after="0"/>
        <w:rPr>
          <w:color w:val="000000"/>
        </w:rPr>
      </w:pPr>
      <w:r>
        <w:rPr>
          <w:color w:val="000000"/>
        </w:rPr>
      </w:r>
    </w:p>
    <w:p>
      <w:pPr>
        <w:pStyle w:val="Normal"/>
        <w:pBdr/>
        <w:spacing w:lineRule="auto" w:line="240" w:before="0" w:after="0"/>
        <w:rPr>
          <w:color w:val="000000"/>
        </w:rPr>
      </w:pPr>
      <w:r>
        <w:rPr>
          <w:color w:val="000000"/>
        </w:rPr>
      </w:r>
    </w:p>
    <w:p>
      <w:pPr>
        <w:pStyle w:val="Normal"/>
        <w:pBdr/>
        <w:spacing w:lineRule="auto" w:line="240" w:before="0" w:after="0"/>
        <w:rPr>
          <w:rFonts w:ascii="Noto Sans" w:hAnsi="Noto Sans" w:eastAsia="Noto Sans" w:cs="Noto Sans"/>
          <w:b/>
          <w:b/>
          <w:color w:val="000000"/>
          <w:sz w:val="22"/>
          <w:szCs w:val="22"/>
        </w:rPr>
      </w:pPr>
      <w:r>
        <w:rPr>
          <w:rFonts w:eastAsia="Noto Sans" w:cs="Noto Sans" w:ascii="Noto Sans" w:hAnsi="Noto Sans"/>
          <w:b/>
          <w:color w:val="000000"/>
          <w:sz w:val="22"/>
          <w:szCs w:val="22"/>
        </w:rPr>
        <w:t>Decret 32/2022, d'1 d'agost, pel qual s’estableix el currículum de l’educació secundària obligatòria a les Illes Balears (BOIB núm. 101, de 2 d’agost de 2022)</w:t>
      </w:r>
    </w:p>
    <w:p>
      <w:pPr>
        <w:pStyle w:val="Normal"/>
        <w:pBdr/>
        <w:spacing w:lineRule="auto" w:line="240" w:before="0" w:after="0"/>
        <w:rPr>
          <w:rFonts w:ascii="Noto Sans" w:hAnsi="Noto Sans" w:eastAsia="Noto Sans" w:cs="Noto Sans"/>
          <w:b/>
          <w:b/>
          <w:color w:val="FF0000"/>
          <w:sz w:val="22"/>
          <w:szCs w:val="22"/>
        </w:rPr>
      </w:pPr>
      <w:r>
        <w:rPr>
          <w:rFonts w:eastAsia="Noto Sans" w:cs="Noto Sans" w:ascii="Noto Sans" w:hAnsi="Noto Sans"/>
          <w:b/>
          <w:color w:val="FF0000"/>
          <w:sz w:val="22"/>
          <w:szCs w:val="22"/>
        </w:rPr>
      </w:r>
    </w:p>
    <w:p>
      <w:pPr>
        <w:pStyle w:val="Normal"/>
        <w:spacing w:lineRule="auto" w:line="240" w:before="0" w:after="0"/>
        <w:rPr>
          <w:rFonts w:ascii="Noto Sans" w:hAnsi="Noto Sans" w:eastAsia="Noto Sans" w:cs="Noto Sans"/>
          <w:i/>
          <w:i/>
          <w:sz w:val="22"/>
          <w:szCs w:val="22"/>
        </w:rPr>
      </w:pPr>
      <w:r>
        <w:rPr>
          <w:rFonts w:eastAsia="Noto Sans" w:cs="Noto Sans" w:ascii="Noto Sans" w:hAnsi="Noto Sans"/>
          <w:i/>
          <w:sz w:val="22"/>
          <w:szCs w:val="22"/>
        </w:rPr>
        <w:t>ANNEX 1</w:t>
      </w:r>
    </w:p>
    <w:p>
      <w:pPr>
        <w:pStyle w:val="Normal"/>
        <w:spacing w:lineRule="auto" w:line="240" w:before="0" w:after="0"/>
        <w:rPr>
          <w:rFonts w:ascii="Noto Sans" w:hAnsi="Noto Sans" w:eastAsia="Noto Sans" w:cs="Noto Sans"/>
          <w:i/>
          <w:i/>
          <w:sz w:val="22"/>
          <w:szCs w:val="22"/>
        </w:rPr>
      </w:pPr>
      <w:r>
        <w:rPr>
          <w:rFonts w:eastAsia="Noto Sans" w:cs="Noto Sans" w:ascii="Noto Sans" w:hAnsi="Noto Sans"/>
          <w:i/>
          <w:sz w:val="22"/>
          <w:szCs w:val="22"/>
        </w:rPr>
        <w:t>Perfil de sortida dels alumnes al final de l'ensenyament bàsic</w:t>
      </w:r>
    </w:p>
    <w:p>
      <w:pPr>
        <w:pStyle w:val="Normal"/>
        <w:spacing w:lineRule="auto" w:line="240" w:before="0" w:after="0"/>
        <w:rPr>
          <w:rFonts w:ascii="Noto Sans" w:hAnsi="Noto Sans" w:eastAsia="Noto Sans" w:cs="Noto Sans"/>
          <w:i/>
          <w:i/>
          <w:sz w:val="22"/>
          <w:szCs w:val="22"/>
        </w:rPr>
      </w:pPr>
      <w:r>
        <w:rPr>
          <w:rFonts w:eastAsia="Noto Sans" w:cs="Noto Sans" w:ascii="Noto Sans" w:hAnsi="Noto Sans"/>
          <w:i/>
          <w:sz w:val="22"/>
          <w:szCs w:val="22"/>
        </w:rPr>
        <w:t>El perfil de sortida dels alumnes al final de l'ensenyament bàsic és l'eina en què es concreten els principis i les finalitats del sistema educatiu espanyol referits a aquest període. El perfil identifica i defineix, en connexió amb els reptes del segle XXI, les competències clau que s'espera que els alumnes hagin desenvolupat en completar aquesta fase del seu itinerari formatiu.</w:t>
      </w:r>
    </w:p>
    <w:p>
      <w:pPr>
        <w:pStyle w:val="Normal"/>
        <w:spacing w:lineRule="auto" w:line="240" w:before="0" w:after="0"/>
        <w:rPr>
          <w:rFonts w:ascii="Noto Sans" w:hAnsi="Noto Sans" w:eastAsia="Noto Sans" w:cs="Noto Sans"/>
          <w:i/>
          <w:i/>
          <w:sz w:val="22"/>
          <w:szCs w:val="22"/>
        </w:rPr>
      </w:pPr>
      <w:r>
        <w:rPr>
          <w:rFonts w:eastAsia="Noto Sans" w:cs="Noto Sans" w:ascii="Noto Sans" w:hAnsi="Noto Sans"/>
          <w:i/>
          <w:sz w:val="22"/>
          <w:szCs w:val="22"/>
        </w:rPr>
        <w:t>El perfil de sortida és únic i el mateix per a tot el territori estatal. És la pedra angular de tot el currículum, la matriu que el cohesiona, i cap a on convergeixen els objectius de les diferents etapes que constitueixen l'ensenyament bàsic. Es concep, per tant, com l'element que ha de fonamentar les decisions curriculars, així com les estratègies i les orientacions metodològiques en la pràctica lectiva. Ha de ser, a més, el fonament de l'aprenentatge permanent i el referent de l'avaluació interna i externa dels aprenentatges de l'alumne, en particular quant a la presa de decisions sobre promoció entre els diferents cursos, així com a l'obtenció del títol de graduat en educació secundària obligatòria.</w:t>
      </w:r>
    </w:p>
    <w:p>
      <w:pPr>
        <w:pStyle w:val="Normal"/>
        <w:pBdr/>
        <w:spacing w:lineRule="auto" w:line="240" w:before="0" w:after="0"/>
        <w:rPr>
          <w:i/>
          <w:i/>
        </w:rPr>
      </w:pPr>
      <w:r>
        <w:rPr>
          <w:i/>
        </w:rPr>
      </w:r>
    </w:p>
    <w:p>
      <w:pPr>
        <w:pStyle w:val="Normal"/>
        <w:pBdr/>
        <w:spacing w:lineRule="auto" w:line="240" w:before="0" w:after="0"/>
        <w:rPr>
          <w:color w:val="000000"/>
        </w:rPr>
      </w:pPr>
      <w:r>
        <w:rPr>
          <w:rFonts w:eastAsia="Noto Sans" w:cs="Noto Sans" w:ascii="Noto Sans" w:hAnsi="Noto Sans"/>
          <w:b/>
          <w:color w:val="000000"/>
          <w:sz w:val="22"/>
          <w:szCs w:val="22"/>
        </w:rPr>
        <w:t>Resolució del conseller d’Educació i Universitats, de 10 de novembre de 2023, per la qual s’estableix el procediment per a la realització de l’avaluació de diagnòstic del curs 2023-2024 als alumnes de quart curs d’educació primària en els centres docents no universitaris de les Illes Balears que imparteixen aquests ensenyaments ( BOIB núm. 155 de 15 de novembre de 2023)</w:t>
      </w:r>
    </w:p>
    <w:p>
      <w:pPr>
        <w:pStyle w:val="Normal"/>
        <w:pBdr/>
        <w:spacing w:lineRule="auto" w:line="240" w:before="0" w:after="0"/>
        <w:rPr>
          <w:color w:val="000000"/>
        </w:rPr>
      </w:pPr>
      <w:r>
        <w:rPr>
          <w:color w:val="000000"/>
        </w:rPr>
      </w:r>
    </w:p>
    <w:p>
      <w:pPr>
        <w:pStyle w:val="Normal"/>
        <w:pBdr/>
        <w:spacing w:lineRule="auto" w:line="240" w:before="0" w:after="0"/>
        <w:rPr>
          <w:rFonts w:ascii="Noto Sans" w:hAnsi="Noto Sans" w:eastAsia="Noto Sans" w:cs="Noto Sans"/>
          <w:b/>
          <w:b/>
          <w:color w:val="000000"/>
          <w:sz w:val="22"/>
          <w:szCs w:val="22"/>
        </w:rPr>
      </w:pPr>
      <w:r>
        <w:rPr>
          <w:rFonts w:eastAsia="Noto Sans" w:cs="Noto Sans" w:ascii="Noto Sans" w:hAnsi="Noto Sans"/>
          <w:b/>
          <w:color w:val="000000"/>
          <w:sz w:val="22"/>
          <w:szCs w:val="22"/>
        </w:rPr>
        <w:t>Resolució del conseller d’Educació i Universitats, de 10 de novembre de 2023, per la qual s’estableix el procediment per a la realització de l’avaluació de diagnòstic del curs 2023-2024 als alumnes de segon curs d’educació secundària obligatòria en els centres docents no universitaris de les Illes Balears que imparteixen aquests ensenyaments ( BOIB núm. 155 de 15 de novembre de 2023)</w:t>
      </w:r>
    </w:p>
    <w:p>
      <w:pPr>
        <w:pStyle w:val="Normal"/>
        <w:pBdr/>
        <w:spacing w:before="0" w:after="240"/>
        <w:rPr>
          <w:rFonts w:ascii="Noto Sans" w:hAnsi="Noto Sans" w:eastAsia="Noto Sans" w:cs="Noto Sans"/>
          <w:b/>
          <w:b/>
          <w:color w:val="000000"/>
          <w:sz w:val="22"/>
          <w:szCs w:val="22"/>
        </w:rPr>
      </w:pPr>
      <w:r>
        <w:rPr>
          <w:rFonts w:eastAsia="Noto Sans" w:cs="Noto Sans" w:ascii="Noto Sans" w:hAnsi="Noto Sans"/>
          <w:b/>
          <w:color w:val="000000"/>
          <w:sz w:val="22"/>
          <w:szCs w:val="22"/>
        </w:rPr>
      </w:r>
    </w:p>
    <w:p>
      <w:pPr>
        <w:pStyle w:val="Normal"/>
        <w:pBdr/>
        <w:spacing w:before="0" w:after="240"/>
        <w:rPr>
          <w:color w:val="000000"/>
        </w:rPr>
      </w:pPr>
      <w:r>
        <w:rPr>
          <w:rFonts w:eastAsia="Noto Sans" w:cs="Noto Sans" w:ascii="Noto Sans" w:hAnsi="Noto Sans"/>
          <w:b/>
          <w:color w:val="000000"/>
          <w:sz w:val="22"/>
          <w:szCs w:val="22"/>
        </w:rPr>
        <w:t>Resolució del conseller d’Educació i Universitat per a l’organització i el funcionament dels centres docents públics de segon cicle d’educació infantil i educació primària i d’educació secundària de la Comunitat Autònoma de les Illes Balears per al curs 2024-25. Instruccions per a l’organització i el funcionament dels centres docents públics de segon cicle d’educació infantil i educació primària, i d’educació secundària per al curs 2024-2025</w:t>
      </w:r>
    </w:p>
    <w:p>
      <w:pPr>
        <w:pStyle w:val="Normal"/>
        <w:pBdr/>
        <w:spacing w:before="0" w:after="240"/>
        <w:rPr>
          <w:color w:val="000000"/>
        </w:rPr>
      </w:pPr>
      <w:r>
        <w:rPr>
          <w:rFonts w:eastAsia="Noto Sans" w:cs="Noto Sans" w:ascii="Noto Sans" w:hAnsi="Noto Sans"/>
          <w:color w:val="000000"/>
          <w:sz w:val="22"/>
          <w:szCs w:val="22"/>
        </w:rPr>
        <w:t>A l’annex 2 de la resolució es despleguen les instruccions. Al seu punt 2.11.3 s’estableix que</w:t>
      </w:r>
      <w:r>
        <w:rPr>
          <w:rFonts w:eastAsia="Noto Sans" w:cs="Noto Sans" w:ascii="Noto Sans" w:hAnsi="Noto Sans"/>
          <w:i/>
          <w:color w:val="000000"/>
          <w:sz w:val="22"/>
          <w:szCs w:val="22"/>
        </w:rPr>
        <w:t xml:space="preserve"> els centres han de realitzar durant el primer trimestre del curs 2024-2025 un </w:t>
      </w:r>
      <w:r>
        <w:rPr>
          <w:rFonts w:eastAsia="Noto Sans" w:cs="Noto Sans" w:ascii="Noto Sans" w:hAnsi="Noto Sans"/>
          <w:i/>
          <w:sz w:val="22"/>
          <w:szCs w:val="22"/>
        </w:rPr>
        <w:t>p</w:t>
      </w:r>
      <w:r>
        <w:rPr>
          <w:rFonts w:eastAsia="Noto Sans" w:cs="Noto Sans" w:ascii="Noto Sans" w:hAnsi="Noto Sans"/>
          <w:i/>
          <w:color w:val="000000"/>
          <w:sz w:val="22"/>
          <w:szCs w:val="22"/>
        </w:rPr>
        <w:t>la de millora en relació a cadascuna de les àrees/matèries que han estat objecte d’avaluació diagnòstica durant el curs 2023-2024, d’acord amb els resultats obtinguts en l’informe de centre. Aquest pla serà objecte de seguiment per part de la Inspecció Educativa.</w:t>
      </w:r>
    </w:p>
    <w:p>
      <w:pPr>
        <w:pStyle w:val="Normal"/>
        <w:pBdr/>
        <w:spacing w:before="0" w:after="240"/>
        <w:rPr/>
      </w:pPr>
      <w:r>
        <w:rPr/>
      </w:r>
    </w:p>
    <w:p>
      <w:pPr>
        <w:pStyle w:val="Normal"/>
        <w:pBdr/>
        <w:spacing w:before="0" w:after="240"/>
        <w:rPr/>
      </w:pPr>
      <w:r>
        <w:rPr/>
      </w:r>
    </w:p>
    <w:p>
      <w:pPr>
        <w:pStyle w:val="Normal"/>
        <w:rPr>
          <w:rFonts w:ascii="Noto Sans" w:hAnsi="Noto Sans" w:eastAsia="Noto Sans" w:cs="Noto Sans"/>
          <w:b/>
          <w:b/>
          <w:i/>
          <w:i/>
          <w:color w:val="000000"/>
          <w:sz w:val="22"/>
          <w:szCs w:val="22"/>
        </w:rPr>
      </w:pPr>
      <w:r>
        <w:rPr>
          <w:rFonts w:eastAsia="Noto Sans" w:cs="Noto Sans" w:ascii="Noto Sans" w:hAnsi="Noto Sans"/>
          <w:b/>
          <w:i/>
          <w:color w:val="000000"/>
          <w:sz w:val="22"/>
          <w:szCs w:val="22"/>
        </w:rPr>
      </w:r>
    </w:p>
    <w:p>
      <w:pPr>
        <w:pStyle w:val="Normal"/>
        <w:pBdr/>
        <w:spacing w:before="0" w:after="240"/>
        <w:rPr>
          <w:color w:val="000000"/>
        </w:rPr>
      </w:pPr>
      <w:r>
        <w:rPr>
          <w:rFonts w:eastAsia="Noto Sans" w:cs="Noto Sans" w:ascii="Noto Sans" w:hAnsi="Noto Sans"/>
          <w:b/>
          <w:color w:val="000000"/>
          <w:sz w:val="22"/>
          <w:szCs w:val="22"/>
        </w:rPr>
        <w:t>C</w:t>
      </w:r>
      <w:r>
        <w:rPr>
          <w:rFonts w:eastAsia="Noto Sans" w:cs="Noto Sans" w:ascii="Noto Sans" w:hAnsi="Noto Sans"/>
          <w:b/>
          <w:i/>
          <w:color w:val="000000"/>
          <w:sz w:val="22"/>
          <w:szCs w:val="22"/>
        </w:rPr>
        <w:t xml:space="preserve">. </w:t>
      </w:r>
      <w:r>
        <w:rPr>
          <w:rFonts w:eastAsia="Noto Sans" w:cs="Noto Sans" w:ascii="Noto Sans" w:hAnsi="Noto Sans"/>
          <w:b/>
          <w:color w:val="000000"/>
          <w:sz w:val="22"/>
          <w:szCs w:val="22"/>
        </w:rPr>
        <w:t>RECURSOS I INDICADORS  A CONSIDERAR  PER LA VALORACIÓ DELS RESULTATS</w:t>
      </w:r>
    </w:p>
    <w:p>
      <w:pPr>
        <w:pStyle w:val="Normal"/>
        <w:pBdr/>
        <w:spacing w:before="0" w:after="240"/>
        <w:rPr>
          <w:color w:val="000000"/>
        </w:rPr>
      </w:pPr>
      <w:r>
        <w:rPr>
          <w:rFonts w:eastAsia="Noto Sans" w:cs="Noto Sans" w:ascii="Noto Sans" w:hAnsi="Noto Sans"/>
          <w:b/>
          <w:color w:val="000000"/>
          <w:sz w:val="22"/>
          <w:szCs w:val="22"/>
        </w:rPr>
        <w:t>C.1 Recursos</w:t>
      </w:r>
    </w:p>
    <w:p>
      <w:pPr>
        <w:pStyle w:val="Normal"/>
        <w:pBdr/>
        <w:spacing w:before="0" w:after="240"/>
        <w:rPr>
          <w:color w:val="000000"/>
        </w:rPr>
      </w:pPr>
      <w:r>
        <w:rPr>
          <w:rFonts w:eastAsia="Noto Sans" w:cs="Noto Sans" w:ascii="Noto Sans" w:hAnsi="Noto Sans"/>
          <w:color w:val="000000"/>
          <w:sz w:val="22"/>
          <w:szCs w:val="22"/>
        </w:rPr>
        <w:t>a. Proves realitzades pels alumnes (diferents models de prova de cada competència i matèria avaluada).</w:t>
      </w:r>
    </w:p>
    <w:p>
      <w:pPr>
        <w:pStyle w:val="Normal"/>
        <w:pBdr/>
        <w:spacing w:before="0" w:after="240"/>
        <w:rPr>
          <w:color w:val="000000"/>
        </w:rPr>
      </w:pPr>
      <w:r>
        <w:rPr>
          <w:rFonts w:eastAsia="Noto Sans" w:cs="Noto Sans" w:ascii="Noto Sans" w:hAnsi="Noto Sans"/>
          <w:color w:val="000000"/>
          <w:sz w:val="22"/>
          <w:szCs w:val="22"/>
        </w:rPr>
        <w:t>b. Informe inicial IAQSE</w:t>
      </w:r>
      <w:r>
        <w:rPr>
          <w:rFonts w:eastAsia="Noto Sans" w:cs="Noto Sans" w:ascii="Noto Sans" w:hAnsi="Noto Sans"/>
          <w:sz w:val="22"/>
          <w:szCs w:val="22"/>
        </w:rPr>
        <w:t xml:space="preserve"> de cada centre</w:t>
      </w:r>
      <w:r>
        <w:rPr>
          <w:rFonts w:eastAsia="Noto Sans" w:cs="Noto Sans" w:ascii="Noto Sans" w:hAnsi="Noto Sans"/>
          <w:color w:val="000000"/>
          <w:sz w:val="22"/>
          <w:szCs w:val="22"/>
        </w:rPr>
        <w:t>: Percentatge d’alumnes que han superat cada prova (qualificació de centre) i qualificació obtinguda en cada prova per part de cada alumne.</w:t>
      </w:r>
    </w:p>
    <w:p>
      <w:pPr>
        <w:pStyle w:val="Normal"/>
        <w:pBdr/>
        <w:spacing w:before="0" w:after="240"/>
        <w:rPr>
          <w:color w:val="000000"/>
        </w:rPr>
      </w:pPr>
      <w:r>
        <w:rPr>
          <w:rFonts w:eastAsia="Noto Sans" w:cs="Noto Sans" w:ascii="Noto Sans" w:hAnsi="Noto Sans"/>
          <w:color w:val="000000"/>
          <w:sz w:val="22"/>
          <w:szCs w:val="22"/>
        </w:rPr>
        <w:t>c. Informe final de resultats de cada centre elaborat per l</w:t>
      </w:r>
      <w:r>
        <w:rPr>
          <w:rFonts w:eastAsia="Noto Sans" w:cs="Noto Sans" w:ascii="Noto Sans" w:hAnsi="Noto Sans"/>
          <w:sz w:val="22"/>
          <w:szCs w:val="22"/>
        </w:rPr>
        <w:t xml:space="preserve">’ </w:t>
      </w:r>
      <w:r>
        <w:rPr>
          <w:rFonts w:eastAsia="Noto Sans" w:cs="Noto Sans" w:ascii="Noto Sans" w:hAnsi="Noto Sans"/>
          <w:color w:val="000000"/>
          <w:sz w:val="22"/>
          <w:szCs w:val="22"/>
        </w:rPr>
        <w:t>IAQSE amb els resultats en puntuacions TRI i segons el valor afegit (ISEC).</w:t>
      </w:r>
    </w:p>
    <w:p>
      <w:pPr>
        <w:pStyle w:val="Normal"/>
        <w:pBdr/>
        <w:spacing w:before="0" w:after="240"/>
        <w:rPr>
          <w:color w:val="000000"/>
        </w:rPr>
      </w:pPr>
      <w:r>
        <w:rPr>
          <w:rFonts w:eastAsia="Noto Sans" w:cs="Noto Sans" w:ascii="Noto Sans" w:hAnsi="Noto Sans"/>
          <w:color w:val="000000"/>
          <w:sz w:val="22"/>
          <w:szCs w:val="22"/>
        </w:rPr>
        <w:t>d. Resultats G</w:t>
      </w:r>
      <w:r>
        <w:rPr>
          <w:rFonts w:eastAsia="Noto Sans" w:cs="Noto Sans" w:ascii="Noto Sans" w:hAnsi="Noto Sans"/>
          <w:sz w:val="22"/>
          <w:szCs w:val="22"/>
        </w:rPr>
        <w:t>ESTIB</w:t>
      </w:r>
      <w:r>
        <w:rPr>
          <w:rFonts w:eastAsia="Noto Sans" w:cs="Noto Sans" w:ascii="Noto Sans" w:hAnsi="Noto Sans"/>
          <w:color w:val="000000"/>
          <w:sz w:val="22"/>
          <w:szCs w:val="22"/>
        </w:rPr>
        <w:t xml:space="preserve">-SEDEIB per a la valoració dels resultats finals del curs </w:t>
      </w:r>
      <w:r>
        <w:rPr>
          <w:rFonts w:eastAsia="Noto Sans" w:cs="Noto Sans" w:ascii="Noto Sans" w:hAnsi="Noto Sans"/>
          <w:sz w:val="22"/>
          <w:szCs w:val="22"/>
        </w:rPr>
        <w:t xml:space="preserve">de realització de les proves </w:t>
      </w:r>
      <w:r>
        <w:rPr>
          <w:rFonts w:eastAsia="Noto Sans" w:cs="Noto Sans" w:ascii="Noto Sans" w:hAnsi="Noto Sans"/>
          <w:color w:val="000000"/>
          <w:sz w:val="22"/>
          <w:szCs w:val="22"/>
        </w:rPr>
        <w:t xml:space="preserve">dels nivells </w:t>
      </w:r>
      <w:r>
        <w:rPr>
          <w:rFonts w:eastAsia="Noto Sans" w:cs="Noto Sans" w:ascii="Noto Sans" w:hAnsi="Noto Sans"/>
          <w:sz w:val="22"/>
          <w:szCs w:val="22"/>
        </w:rPr>
        <w:t>corresponents</w:t>
      </w:r>
      <w:r>
        <w:rPr>
          <w:rFonts w:eastAsia="Noto Sans" w:cs="Noto Sans" w:ascii="Noto Sans" w:hAnsi="Noto Sans"/>
          <w:color w:val="000000"/>
          <w:sz w:val="22"/>
          <w:szCs w:val="22"/>
        </w:rPr>
        <w:t xml:space="preserve"> i informats a la Memòria anual del centre.</w:t>
      </w:r>
      <w:r>
        <w:rPr>
          <w:rFonts w:eastAsia="Noto Sans" w:cs="Noto Sans" w:ascii="Noto Sans" w:hAnsi="Noto Sans"/>
          <w:b/>
          <w:color w:val="000000"/>
          <w:sz w:val="22"/>
          <w:szCs w:val="22"/>
        </w:rPr>
        <w:t xml:space="preserve">   </w:t>
      </w:r>
    </w:p>
    <w:p>
      <w:pPr>
        <w:pStyle w:val="Normal"/>
        <w:pBdr/>
        <w:spacing w:before="0" w:after="240"/>
        <w:rPr>
          <w:color w:val="000000"/>
        </w:rPr>
      </w:pPr>
      <w:r>
        <w:rPr>
          <w:rFonts w:eastAsia="Noto Sans" w:cs="Noto Sans" w:ascii="Noto Sans" w:hAnsi="Noto Sans"/>
          <w:color w:val="000000"/>
          <w:sz w:val="22"/>
          <w:szCs w:val="22"/>
        </w:rPr>
        <w:t>e. Informe ISEC de centre</w:t>
      </w:r>
      <w:r>
        <w:rPr>
          <w:rFonts w:eastAsia="Noto Sans" w:cs="Noto Sans" w:ascii="Noto Sans" w:hAnsi="Noto Sans"/>
          <w:sz w:val="22"/>
          <w:szCs w:val="22"/>
        </w:rPr>
        <w:t>.</w:t>
      </w:r>
    </w:p>
    <w:p>
      <w:pPr>
        <w:pStyle w:val="Normal"/>
        <w:pBdr/>
        <w:jc w:val="left"/>
        <w:rPr>
          <w:rFonts w:ascii="Noto Sans" w:hAnsi="Noto Sans" w:eastAsia="Noto Sans" w:cs="Noto Sans"/>
          <w:b/>
          <w:b/>
          <w:color w:val="000000"/>
          <w:sz w:val="22"/>
          <w:szCs w:val="22"/>
        </w:rPr>
      </w:pPr>
      <w:r>
        <w:rPr>
          <w:rFonts w:eastAsia="Noto Sans" w:cs="Noto Sans" w:ascii="Noto Sans" w:hAnsi="Noto Sans"/>
          <w:b/>
          <w:color w:val="000000"/>
          <w:sz w:val="22"/>
          <w:szCs w:val="22"/>
        </w:rPr>
        <w:t>C.2 Indicadors a considerar per la valoració dels resultats:</w:t>
      </w:r>
    </w:p>
    <w:p>
      <w:pPr>
        <w:pStyle w:val="Normal"/>
        <w:pBdr/>
        <w:rPr>
          <w:color w:val="000000"/>
        </w:rPr>
      </w:pPr>
      <w:r>
        <w:rPr>
          <w:rFonts w:eastAsia="Noto Sans" w:cs="Noto Sans" w:ascii="Noto Sans" w:hAnsi="Noto Sans"/>
          <w:color w:val="000000"/>
          <w:sz w:val="22"/>
          <w:szCs w:val="22"/>
        </w:rPr>
        <w:t xml:space="preserve">a. Valoració </w:t>
      </w:r>
      <w:r>
        <w:rPr>
          <w:rFonts w:eastAsia="Noto Sans" w:cs="Noto Sans" w:ascii="Noto Sans" w:hAnsi="Noto Sans"/>
          <w:sz w:val="22"/>
          <w:szCs w:val="22"/>
        </w:rPr>
        <w:t xml:space="preserve">general </w:t>
      </w:r>
      <w:r>
        <w:rPr>
          <w:rFonts w:eastAsia="Noto Sans" w:cs="Noto Sans" w:ascii="Noto Sans" w:hAnsi="Noto Sans"/>
          <w:color w:val="000000"/>
          <w:sz w:val="22"/>
          <w:szCs w:val="22"/>
        </w:rPr>
        <w:t>per part de</w:t>
      </w:r>
      <w:r>
        <w:rPr>
          <w:rFonts w:eastAsia="Noto Sans" w:cs="Noto Sans" w:ascii="Noto Sans" w:hAnsi="Noto Sans"/>
          <w:color w:val="3C78D8"/>
          <w:sz w:val="22"/>
          <w:szCs w:val="22"/>
        </w:rPr>
        <w:t xml:space="preserve">l </w:t>
      </w:r>
      <w:r>
        <w:rPr>
          <w:rFonts w:eastAsia="Noto Sans" w:cs="Noto Sans" w:ascii="Noto Sans" w:hAnsi="Noto Sans"/>
          <w:color w:val="000000"/>
          <w:sz w:val="22"/>
          <w:szCs w:val="22"/>
        </w:rPr>
        <w:t xml:space="preserve">cada centre </w:t>
      </w:r>
      <w:r>
        <w:rPr>
          <w:rFonts w:eastAsia="Noto Sans" w:cs="Noto Sans" w:ascii="Noto Sans" w:hAnsi="Noto Sans"/>
          <w:sz w:val="22"/>
          <w:szCs w:val="22"/>
        </w:rPr>
        <w:t xml:space="preserve">del grau de </w:t>
      </w:r>
      <w:r>
        <w:rPr>
          <w:rFonts w:eastAsia="Noto Sans" w:cs="Noto Sans" w:ascii="Noto Sans" w:hAnsi="Noto Sans"/>
          <w:color w:val="000000"/>
          <w:sz w:val="22"/>
          <w:szCs w:val="22"/>
        </w:rPr>
        <w:t xml:space="preserve">dificultat de les proves realitzades de cada competència avaluada </w:t>
      </w:r>
      <w:r>
        <w:rPr>
          <w:rFonts w:eastAsia="Noto Sans" w:cs="Noto Sans" w:ascii="Noto Sans" w:hAnsi="Noto Sans"/>
          <w:sz w:val="22"/>
          <w:szCs w:val="22"/>
        </w:rPr>
        <w:t>en relació amb</w:t>
      </w:r>
      <w:r>
        <w:rPr>
          <w:rFonts w:eastAsia="Noto Sans" w:cs="Noto Sans" w:ascii="Noto Sans" w:hAnsi="Noto Sans"/>
          <w:color w:val="000000"/>
          <w:sz w:val="22"/>
          <w:szCs w:val="22"/>
        </w:rPr>
        <w:t xml:space="preserve"> les activitats d’ensenyament aprenentatge habitualment desenvolupades a l’aula.</w:t>
      </w:r>
    </w:p>
    <w:p>
      <w:pPr>
        <w:pStyle w:val="Normal"/>
        <w:pBdr/>
        <w:rPr>
          <w:color w:val="000000"/>
        </w:rPr>
      </w:pPr>
      <w:r>
        <w:rPr>
          <w:rFonts w:eastAsia="Noto Sans" w:cs="Noto Sans" w:ascii="Noto Sans" w:hAnsi="Noto Sans"/>
          <w:color w:val="000000"/>
          <w:sz w:val="22"/>
          <w:szCs w:val="22"/>
        </w:rPr>
        <w:t>b. Grau d’èxit obtingut a cada ítem/pregunta de cada competència avaluada.</w:t>
      </w:r>
    </w:p>
    <w:p>
      <w:pPr>
        <w:pStyle w:val="Normal"/>
        <w:pBdr/>
        <w:rPr>
          <w:color w:val="000000"/>
        </w:rPr>
      </w:pPr>
      <w:r>
        <w:rPr>
          <w:rFonts w:eastAsia="Noto Sans" w:cs="Noto Sans" w:ascii="Noto Sans" w:hAnsi="Noto Sans"/>
          <w:color w:val="000000"/>
          <w:sz w:val="22"/>
          <w:szCs w:val="22"/>
        </w:rPr>
        <w:t xml:space="preserve">c. Grau d’assoliment (global de centre, dels grups i dels alumnes) de les competències avaluades, </w:t>
      </w:r>
      <w:r>
        <w:rPr>
          <w:rFonts w:eastAsia="Noto Sans" w:cs="Noto Sans" w:ascii="Noto Sans" w:hAnsi="Noto Sans"/>
          <w:sz w:val="22"/>
          <w:szCs w:val="22"/>
        </w:rPr>
        <w:t>en relació amb</w:t>
      </w:r>
      <w:r>
        <w:rPr>
          <w:rFonts w:eastAsia="Noto Sans" w:cs="Noto Sans" w:ascii="Noto Sans" w:hAnsi="Noto Sans"/>
          <w:color w:val="000000"/>
          <w:sz w:val="22"/>
          <w:szCs w:val="22"/>
        </w:rPr>
        <w:t xml:space="preserve"> l’illa pròpia o amb les Illes Balears, i segons tipus de titularitat del centre.</w:t>
      </w:r>
    </w:p>
    <w:p>
      <w:pPr>
        <w:pStyle w:val="Normal"/>
        <w:pBdr/>
        <w:rPr>
          <w:color w:val="000000"/>
        </w:rPr>
      </w:pPr>
      <w:r>
        <w:rPr>
          <w:rFonts w:eastAsia="Noto Sans" w:cs="Noto Sans" w:ascii="Noto Sans" w:hAnsi="Noto Sans"/>
          <w:color w:val="000000"/>
          <w:sz w:val="22"/>
          <w:szCs w:val="22"/>
        </w:rPr>
        <w:t>d. Nivells de valor afegit : diferència entre la puntuació obtinguda i l’esperada (ISEC) a cada competència avaluada.</w:t>
      </w:r>
    </w:p>
    <w:p>
      <w:pPr>
        <w:pStyle w:val="Normal"/>
        <w:pBdr/>
        <w:rPr>
          <w:color w:val="000000"/>
        </w:rPr>
      </w:pPr>
      <w:r>
        <w:rPr>
          <w:rFonts w:eastAsia="Noto Sans" w:cs="Noto Sans" w:ascii="Noto Sans" w:hAnsi="Noto Sans"/>
          <w:color w:val="000000"/>
          <w:sz w:val="22"/>
          <w:szCs w:val="22"/>
        </w:rPr>
        <w:t>e. Variables de context que incideixen en el rendiment de</w:t>
      </w:r>
      <w:r>
        <w:rPr>
          <w:rFonts w:eastAsia="Noto Sans" w:cs="Noto Sans" w:ascii="Noto Sans" w:hAnsi="Noto Sans"/>
          <w:sz w:val="22"/>
          <w:szCs w:val="22"/>
        </w:rPr>
        <w:t xml:space="preserve"> l’alumnat</w:t>
      </w:r>
      <w:r>
        <w:rPr>
          <w:rFonts w:eastAsia="Noto Sans" w:cs="Noto Sans" w:ascii="Noto Sans" w:hAnsi="Noto Sans"/>
          <w:color w:val="000000"/>
          <w:sz w:val="22"/>
          <w:szCs w:val="22"/>
        </w:rPr>
        <w:t xml:space="preserve"> i en els resultats. Circumstàncies que han pogut influir en el resultat global de cada prova.</w:t>
      </w:r>
    </w:p>
    <w:p>
      <w:pPr>
        <w:pStyle w:val="Normal"/>
        <w:pBdr/>
        <w:rPr>
          <w:color w:val="000000"/>
        </w:rPr>
      </w:pPr>
      <w:r>
        <w:rPr>
          <w:rFonts w:eastAsia="Noto Sans" w:cs="Noto Sans" w:ascii="Noto Sans" w:hAnsi="Noto Sans"/>
          <w:color w:val="000000"/>
          <w:sz w:val="22"/>
          <w:szCs w:val="22"/>
        </w:rPr>
        <w:t>f. Desviaci</w:t>
      </w:r>
      <w:r>
        <w:rPr>
          <w:rFonts w:eastAsia="Noto Sans" w:cs="Noto Sans" w:ascii="Noto Sans" w:hAnsi="Noto Sans"/>
          <w:sz w:val="22"/>
          <w:szCs w:val="22"/>
        </w:rPr>
        <w:t xml:space="preserve">ó </w:t>
      </w:r>
      <w:r>
        <w:rPr>
          <w:rFonts w:eastAsia="Noto Sans" w:cs="Noto Sans" w:ascii="Noto Sans" w:hAnsi="Noto Sans"/>
          <w:color w:val="000000"/>
          <w:sz w:val="22"/>
          <w:szCs w:val="22"/>
        </w:rPr>
        <w:t>dels resultats de les avaluacions externes i de caràcter diagnòstic  respecte els resultats de l’avaluació final ordinària del curs.</w:t>
      </w:r>
    </w:p>
    <w:p>
      <w:pPr>
        <w:sectPr>
          <w:headerReference w:type="default" r:id="rId7"/>
          <w:footerReference w:type="default" r:id="rId8"/>
          <w:type w:val="nextPage"/>
          <w:pgSz w:w="11906" w:h="16838"/>
          <w:pgMar w:left="1559" w:right="1701" w:header="708" w:top="3119" w:footer="708" w:bottom="1417" w:gutter="0"/>
          <w:pgNumType w:start="1" w:fmt="decimal"/>
          <w:formProt w:val="false"/>
          <w:textDirection w:val="lrTb"/>
          <w:docGrid w:type="default" w:linePitch="100" w:charSpace="8192"/>
        </w:sectPr>
        <w:pStyle w:val="Normal"/>
        <w:pBdr/>
        <w:rPr>
          <w:color w:val="000000"/>
        </w:rPr>
      </w:pPr>
      <w:r>
        <w:rPr>
          <w:rFonts w:eastAsia="Noto Sans" w:cs="Noto Sans" w:ascii="Noto Sans" w:hAnsi="Noto Sans"/>
          <w:color w:val="000000"/>
          <w:sz w:val="22"/>
          <w:szCs w:val="22"/>
        </w:rPr>
        <w:t>g. Evolució temporal dels resultats  actuals i de cursos anteriors de proves externes i d’avaluacions internes.</w:t>
      </w:r>
      <w:r>
        <w:rPr>
          <w:color w:val="000000"/>
        </w:rPr>
        <w:tab/>
      </w:r>
    </w:p>
    <w:p>
      <w:pPr>
        <w:pStyle w:val="Normal"/>
        <w:tabs>
          <w:tab w:val="clear" w:pos="720"/>
          <w:tab w:val="left" w:pos="1590" w:leader="none"/>
        </w:tabs>
        <w:rPr>
          <w:rFonts w:ascii="Noto Sans" w:hAnsi="Noto Sans" w:eastAsia="Noto Sans" w:cs="Noto Sans"/>
          <w:b/>
          <w:b/>
          <w:sz w:val="22"/>
          <w:szCs w:val="22"/>
        </w:rPr>
      </w:pPr>
      <w:r>
        <w:rPr>
          <w:rFonts w:eastAsia="Noto Sans" w:cs="Noto Sans" w:ascii="Noto Sans" w:hAnsi="Noto Sans"/>
          <w:b/>
          <w:sz w:val="22"/>
          <w:szCs w:val="22"/>
        </w:rPr>
      </w:r>
    </w:p>
    <w:p>
      <w:pPr>
        <w:pStyle w:val="Normal"/>
        <w:tabs>
          <w:tab w:val="clear" w:pos="720"/>
          <w:tab w:val="left" w:pos="1590" w:leader="none"/>
        </w:tabs>
        <w:rPr/>
      </w:pPr>
      <w:r>
        <w:rPr>
          <w:rFonts w:eastAsia="Noto Sans" w:cs="Noto Sans" w:ascii="Noto Sans" w:hAnsi="Noto Sans"/>
          <w:b/>
          <w:sz w:val="22"/>
          <w:szCs w:val="22"/>
        </w:rPr>
        <w:t>D. ACTUACIONS  TEMPORITZADES I ATRIBUCIONS DE RESPONSABILITATS</w:t>
      </w:r>
    </w:p>
    <w:tbl>
      <w:tblPr>
        <w:tblStyle w:val="a"/>
        <w:tblW w:w="14327" w:type="dxa"/>
        <w:jc w:val="left"/>
        <w:tblInd w:w="-50" w:type="dxa"/>
        <w:tblBorders>
          <w:top w:val="single" w:sz="4" w:space="0" w:color="000000"/>
          <w:left w:val="single" w:sz="4" w:space="0" w:color="000000"/>
          <w:bottom w:val="single" w:sz="4" w:space="0" w:color="000000"/>
          <w:insideH w:val="single" w:sz="4" w:space="0" w:color="000000"/>
        </w:tblBorders>
        <w:tblCellMar>
          <w:top w:w="0" w:type="dxa"/>
          <w:left w:w="108" w:type="dxa"/>
          <w:bottom w:w="0" w:type="dxa"/>
          <w:right w:w="108" w:type="dxa"/>
        </w:tblCellMar>
        <w:tblLook w:firstRow="0" w:noVBand="0" w:lastRow="0" w:firstColumn="0" w:lastColumn="0" w:noHBand="0" w:val="0000"/>
      </w:tblPr>
      <w:tblGrid>
        <w:gridCol w:w="9639"/>
        <w:gridCol w:w="1842"/>
        <w:gridCol w:w="2846"/>
      </w:tblGrid>
      <w:tr>
        <w:trPr/>
        <w:tc>
          <w:tcPr>
            <w:tcW w:w="9639" w:type="dxa"/>
            <w:tcBorders>
              <w:top w:val="single" w:sz="4" w:space="0" w:color="000000"/>
              <w:left w:val="single" w:sz="4" w:space="0" w:color="000000"/>
              <w:bottom w:val="single" w:sz="4" w:space="0" w:color="000000"/>
              <w:insideH w:val="single" w:sz="4" w:space="0" w:color="000000"/>
            </w:tcBorders>
            <w:shd w:fill="auto" w:val="clear"/>
          </w:tcPr>
          <w:p>
            <w:pPr>
              <w:pStyle w:val="Normal"/>
              <w:pBdr/>
              <w:spacing w:before="0" w:after="100"/>
              <w:jc w:val="left"/>
              <w:rPr>
                <w:rFonts w:ascii="Noto Sans" w:hAnsi="Noto Sans" w:eastAsia="Noto Sans" w:cs="Noto Sans"/>
                <w:color w:val="000000"/>
              </w:rPr>
            </w:pPr>
            <w:r>
              <w:rPr>
                <w:rFonts w:eastAsia="Noto Sans" w:cs="Noto Sans" w:ascii="Noto Sans" w:hAnsi="Noto Sans"/>
                <w:color w:val="000000"/>
              </w:rPr>
              <w:t>Actuacions</w:t>
            </w:r>
          </w:p>
        </w:tc>
        <w:tc>
          <w:tcPr>
            <w:tcW w:w="1842" w:type="dxa"/>
            <w:tcBorders>
              <w:top w:val="single" w:sz="4" w:space="0" w:color="000000"/>
              <w:left w:val="single" w:sz="4" w:space="0" w:color="000000"/>
              <w:bottom w:val="single" w:sz="4" w:space="0" w:color="000000"/>
              <w:insideH w:val="single" w:sz="4" w:space="0" w:color="000000"/>
            </w:tcBorders>
            <w:shd w:fill="auto" w:val="clear"/>
          </w:tcPr>
          <w:p>
            <w:pPr>
              <w:pStyle w:val="Normal"/>
              <w:pBdr/>
              <w:spacing w:before="0" w:after="100"/>
              <w:jc w:val="left"/>
              <w:rPr>
                <w:rFonts w:ascii="Noto Sans" w:hAnsi="Noto Sans" w:eastAsia="Noto Sans" w:cs="Noto Sans"/>
                <w:color w:val="000000"/>
              </w:rPr>
            </w:pPr>
            <w:r>
              <w:rPr>
                <w:rFonts w:eastAsia="Noto Sans" w:cs="Noto Sans" w:ascii="Noto Sans" w:hAnsi="Noto Sans"/>
                <w:color w:val="000000"/>
              </w:rPr>
              <w:t>Temporització</w:t>
            </w:r>
          </w:p>
        </w:tc>
        <w:tc>
          <w:tcPr>
            <w:tcW w:w="284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pBdr/>
              <w:spacing w:before="0" w:after="100"/>
              <w:jc w:val="left"/>
              <w:rPr>
                <w:rFonts w:ascii="Noto Sans" w:hAnsi="Noto Sans" w:eastAsia="Noto Sans" w:cs="Noto Sans"/>
                <w:color w:val="000000"/>
              </w:rPr>
            </w:pPr>
            <w:r>
              <w:rPr>
                <w:rFonts w:eastAsia="Noto Sans" w:cs="Noto Sans" w:ascii="Noto Sans" w:hAnsi="Noto Sans"/>
                <w:color w:val="000000"/>
              </w:rPr>
              <w:t>Responsables</w:t>
            </w:r>
          </w:p>
        </w:tc>
      </w:tr>
      <w:tr>
        <w:trPr/>
        <w:tc>
          <w:tcPr>
            <w:tcW w:w="963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widowControl w:val="false"/>
              <w:pBdr/>
              <w:spacing w:before="0" w:after="100"/>
              <w:jc w:val="left"/>
              <w:rPr>
                <w:color w:val="000000"/>
              </w:rPr>
            </w:pPr>
            <w:r>
              <w:rPr>
                <w:rFonts w:eastAsia="Noto Sans" w:cs="Noto Sans" w:ascii="Noto Sans" w:hAnsi="Noto Sans"/>
                <w:b/>
                <w:color w:val="000000"/>
              </w:rPr>
              <w:t>Valoració  del grau  de dificultat de les proves</w:t>
            </w:r>
            <w:r>
              <w:rPr>
                <w:rFonts w:eastAsia="Noto Sans" w:cs="Noto Sans" w:ascii="Noto Sans" w:hAnsi="Noto Sans"/>
                <w:color w:val="000000"/>
              </w:rPr>
              <w:t xml:space="preserve"> </w:t>
            </w:r>
            <w:r>
              <w:rPr>
                <w:rFonts w:eastAsia="Noto Sans" w:cs="Noto Sans" w:ascii="Noto Sans" w:hAnsi="Noto Sans"/>
                <w:b/>
                <w:color w:val="000000"/>
              </w:rPr>
              <w:t>de cadascuna de les competències avaluades.</w:t>
            </w:r>
          </w:p>
          <w:p>
            <w:pPr>
              <w:pStyle w:val="Normal"/>
              <w:widowControl w:val="false"/>
              <w:pBdr/>
              <w:spacing w:before="0" w:after="100"/>
              <w:jc w:val="left"/>
              <w:rPr>
                <w:color w:val="000000"/>
              </w:rPr>
            </w:pPr>
            <w:r>
              <w:rPr>
                <w:rFonts w:eastAsia="Noto Sans" w:cs="Noto Sans" w:ascii="Noto Sans" w:hAnsi="Noto Sans"/>
                <w:b/>
                <w:color w:val="000000"/>
              </w:rPr>
              <w:t>Informe valoratiu</w:t>
            </w:r>
            <w:r>
              <w:rPr>
                <w:rFonts w:eastAsia="Noto Sans" w:cs="Noto Sans" w:ascii="Noto Sans" w:hAnsi="Noto Sans"/>
                <w:color w:val="000000"/>
              </w:rPr>
              <w:t xml:space="preserve"> </w:t>
            </w:r>
            <w:r>
              <w:rPr>
                <w:rFonts w:eastAsia="Noto Sans" w:cs="Noto Sans" w:ascii="Noto Sans" w:hAnsi="Noto Sans"/>
                <w:b/>
              </w:rPr>
              <w:t>en relació amb</w:t>
            </w:r>
            <w:r>
              <w:rPr>
                <w:rFonts w:eastAsia="Noto Sans" w:cs="Noto Sans" w:ascii="Noto Sans" w:hAnsi="Noto Sans"/>
                <w:b/>
                <w:color w:val="000000"/>
              </w:rPr>
              <w:t>:</w:t>
            </w:r>
          </w:p>
          <w:p>
            <w:pPr>
              <w:pStyle w:val="Normal"/>
              <w:widowControl w:val="false"/>
              <w:pBdr/>
              <w:spacing w:before="0" w:after="100"/>
              <w:jc w:val="left"/>
              <w:rPr>
                <w:color w:val="000000"/>
              </w:rPr>
            </w:pPr>
            <w:r>
              <w:rPr>
                <w:color w:val="000000"/>
              </w:rPr>
            </w:r>
          </w:p>
          <w:p>
            <w:pPr>
              <w:pStyle w:val="Normal"/>
              <w:widowControl w:val="false"/>
              <w:pBdr/>
              <w:spacing w:before="0" w:after="100"/>
              <w:jc w:val="left"/>
              <w:rPr>
                <w:color w:val="000000"/>
              </w:rPr>
            </w:pPr>
            <w:r>
              <w:rPr>
                <w:rFonts w:eastAsia="Noto Sans" w:cs="Noto Sans" w:ascii="Noto Sans" w:hAnsi="Noto Sans"/>
                <w:color w:val="000000"/>
              </w:rPr>
              <w:t>- L’adequació de sabers demanats en cada qüestió de les proves en relació a allò treballat a l’aula</w:t>
            </w:r>
          </w:p>
          <w:p>
            <w:pPr>
              <w:pStyle w:val="Normal"/>
              <w:widowControl w:val="false"/>
              <w:pBdr/>
              <w:spacing w:before="0" w:after="100"/>
              <w:jc w:val="left"/>
              <w:rPr>
                <w:color w:val="000000"/>
              </w:rPr>
            </w:pPr>
            <w:r>
              <w:rPr>
                <w:rFonts w:eastAsia="Noto Sans" w:cs="Noto Sans" w:ascii="Noto Sans" w:hAnsi="Noto Sans"/>
              </w:rPr>
              <w:t xml:space="preserve">- </w:t>
            </w:r>
            <w:r>
              <w:rPr>
                <w:rFonts w:eastAsia="Noto Sans" w:cs="Noto Sans" w:ascii="Noto Sans" w:hAnsi="Noto Sans"/>
                <w:color w:val="000000"/>
              </w:rPr>
              <w:t xml:space="preserve">L’adequació de la tipologia de les qüestions plantejades </w:t>
            </w:r>
            <w:r>
              <w:rPr>
                <w:rFonts w:eastAsia="Noto Sans" w:cs="Noto Sans" w:ascii="Noto Sans" w:hAnsi="Noto Sans"/>
              </w:rPr>
              <w:t>a</w:t>
            </w:r>
            <w:r>
              <w:rPr>
                <w:rFonts w:eastAsia="Noto Sans" w:cs="Noto Sans" w:ascii="Noto Sans" w:hAnsi="Noto Sans"/>
                <w:color w:val="000000"/>
              </w:rPr>
              <w:t xml:space="preserve"> les proves respecte de la tipologia de les activitats d’aula</w:t>
            </w:r>
          </w:p>
          <w:p>
            <w:pPr>
              <w:pStyle w:val="Normal"/>
              <w:widowControl w:val="false"/>
              <w:pBdr/>
              <w:spacing w:before="0" w:after="100"/>
              <w:jc w:val="left"/>
              <w:rPr>
                <w:color w:val="000000"/>
              </w:rPr>
            </w:pPr>
            <w:r>
              <w:rPr>
                <w:rFonts w:eastAsia="Noto Sans" w:cs="Noto Sans" w:ascii="Noto Sans" w:hAnsi="Noto Sans"/>
                <w:color w:val="000000"/>
              </w:rPr>
              <w:t xml:space="preserve">- L’extensió de les proves </w:t>
            </w:r>
            <w:r>
              <w:rPr>
                <w:rFonts w:eastAsia="Noto Sans" w:cs="Noto Sans" w:ascii="Noto Sans" w:hAnsi="Noto Sans"/>
              </w:rPr>
              <w:t>en relació amb</w:t>
            </w:r>
            <w:r>
              <w:rPr>
                <w:rFonts w:eastAsia="Noto Sans" w:cs="Noto Sans" w:ascii="Noto Sans" w:hAnsi="Noto Sans"/>
                <w:color w:val="000000"/>
              </w:rPr>
              <w:t xml:space="preserve"> l’extensió de les activitats d’aprenentatge plantejades a l’aula</w:t>
            </w:r>
          </w:p>
          <w:p>
            <w:pPr>
              <w:pStyle w:val="Normal"/>
              <w:widowControl w:val="false"/>
              <w:pBdr/>
              <w:spacing w:before="0" w:after="100"/>
              <w:jc w:val="left"/>
              <w:rPr>
                <w:color w:val="000000"/>
              </w:rPr>
            </w:pPr>
            <w:r>
              <w:rPr>
                <w:rFonts w:eastAsia="Noto Sans" w:cs="Noto Sans" w:ascii="Noto Sans" w:hAnsi="Noto Sans"/>
                <w:color w:val="000000"/>
              </w:rPr>
              <w:t>- La valoració global del grau de dificultat de la prova: difícil /</w:t>
            </w:r>
            <w:r>
              <w:rPr>
                <w:rFonts w:eastAsia="Noto Sans" w:cs="Noto Sans" w:ascii="Noto Sans" w:hAnsi="Noto Sans"/>
              </w:rPr>
              <w:t xml:space="preserve"> </w:t>
            </w:r>
            <w:r>
              <w:rPr>
                <w:rFonts w:eastAsia="Noto Sans" w:cs="Noto Sans" w:ascii="Noto Sans" w:hAnsi="Noto Sans"/>
                <w:color w:val="000000"/>
              </w:rPr>
              <w:t>adequada/ fàcil</w:t>
            </w:r>
          </w:p>
          <w:p>
            <w:pPr>
              <w:pStyle w:val="Normal"/>
              <w:widowControl w:val="false"/>
              <w:pBdr/>
              <w:spacing w:before="0" w:after="100"/>
              <w:jc w:val="left"/>
              <w:rPr>
                <w:color w:val="000000"/>
              </w:rPr>
            </w:pPr>
            <w:r>
              <w:rPr>
                <w:rFonts w:eastAsia="Noto Sans" w:cs="Noto Sans" w:ascii="Noto Sans" w:hAnsi="Noto Sans"/>
                <w:color w:val="000000"/>
              </w:rPr>
              <w:t xml:space="preserve">- </w:t>
            </w:r>
            <w:r>
              <w:rPr>
                <w:rFonts w:eastAsia="Noto Sans" w:cs="Noto Sans" w:ascii="Noto Sans" w:hAnsi="Noto Sans"/>
              </w:rPr>
              <w:t>La v</w:t>
            </w:r>
            <w:r>
              <w:rPr>
                <w:rFonts w:eastAsia="Noto Sans" w:cs="Noto Sans" w:ascii="Noto Sans" w:hAnsi="Noto Sans"/>
                <w:color w:val="000000"/>
              </w:rPr>
              <w:t>aloració de les adaptacions, si s’escau, de les proves</w:t>
            </w:r>
          </w:p>
        </w:tc>
        <w:tc>
          <w:tcPr>
            <w:tcW w:w="1842"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pBdr/>
              <w:spacing w:before="0" w:after="100"/>
              <w:jc w:val="left"/>
              <w:rPr>
                <w:rFonts w:ascii="Noto Sans" w:hAnsi="Noto Sans" w:eastAsia="Noto Sans" w:cs="Noto Sans"/>
                <w:color w:val="000000"/>
              </w:rPr>
            </w:pPr>
            <w:r>
              <w:rPr>
                <w:rFonts w:eastAsia="Noto Sans" w:cs="Noto Sans" w:ascii="Noto Sans" w:hAnsi="Noto Sans"/>
              </w:rPr>
              <w:t>Després de la realització de les proves i p</w:t>
            </w:r>
            <w:r>
              <w:rPr>
                <w:rFonts w:eastAsia="Noto Sans" w:cs="Noto Sans" w:ascii="Noto Sans" w:hAnsi="Noto Sans"/>
                <w:color w:val="000000"/>
              </w:rPr>
              <w:t>rèviament a la recepció dels resultats de l’IAQSE</w:t>
            </w:r>
          </w:p>
        </w:tc>
        <w:tc>
          <w:tcPr>
            <w:tcW w:w="284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pBdr/>
              <w:spacing w:before="0" w:after="100"/>
              <w:jc w:val="left"/>
              <w:rPr>
                <w:rFonts w:ascii="Noto Sans" w:hAnsi="Noto Sans" w:eastAsia="Noto Sans" w:cs="Noto Sans"/>
                <w:color w:val="000000"/>
              </w:rPr>
            </w:pPr>
            <w:r>
              <w:rPr>
                <w:rFonts w:eastAsia="Noto Sans" w:cs="Noto Sans" w:ascii="Noto Sans" w:hAnsi="Noto Sans"/>
                <w:color w:val="000000"/>
              </w:rPr>
              <w:t>Mestres/ professorat que imparteix la matèria</w:t>
            </w:r>
          </w:p>
          <w:p>
            <w:pPr>
              <w:pStyle w:val="Normal"/>
              <w:pBdr/>
              <w:spacing w:before="0" w:after="100"/>
              <w:jc w:val="left"/>
              <w:rPr>
                <w:rFonts w:ascii="Noto Sans" w:hAnsi="Noto Sans" w:eastAsia="Noto Sans" w:cs="Noto Sans"/>
                <w:color w:val="000000"/>
              </w:rPr>
            </w:pPr>
            <w:r>
              <w:rPr>
                <w:rFonts w:eastAsia="Noto Sans" w:cs="Noto Sans" w:ascii="Noto Sans" w:hAnsi="Noto Sans"/>
                <w:color w:val="000000"/>
              </w:rPr>
              <w:t>Cicles/departaments didàctics</w:t>
            </w:r>
          </w:p>
          <w:p>
            <w:pPr>
              <w:pStyle w:val="Normal"/>
              <w:pBdr/>
              <w:spacing w:before="0" w:after="100"/>
              <w:jc w:val="left"/>
              <w:rPr>
                <w:rFonts w:ascii="Noto Sans" w:hAnsi="Noto Sans" w:eastAsia="Noto Sans" w:cs="Noto Sans"/>
                <w:color w:val="000000"/>
              </w:rPr>
            </w:pPr>
            <w:r>
              <w:rPr>
                <w:rFonts w:eastAsia="Noto Sans" w:cs="Noto Sans" w:ascii="Noto Sans" w:hAnsi="Noto Sans"/>
                <w:color w:val="000000"/>
              </w:rPr>
              <w:t>Sota la coordinació de l’equip directiu, CCP i Comissió d’avaluació de les proves</w:t>
            </w:r>
          </w:p>
        </w:tc>
      </w:tr>
      <w:tr>
        <w:trPr>
          <w:trHeight w:val="2909" w:hRule="atLeast"/>
        </w:trPr>
        <w:tc>
          <w:tcPr>
            <w:tcW w:w="963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widowControl w:val="false"/>
              <w:pBdr/>
              <w:spacing w:before="0" w:after="100"/>
              <w:jc w:val="left"/>
              <w:rPr>
                <w:rFonts w:ascii="Noto Sans" w:hAnsi="Noto Sans" w:eastAsia="Noto Sans" w:cs="Noto Sans"/>
                <w:b/>
                <w:b/>
              </w:rPr>
            </w:pPr>
            <w:r>
              <w:rPr>
                <w:rFonts w:eastAsia="Noto Sans" w:cs="Noto Sans" w:ascii="Noto Sans" w:hAnsi="Noto Sans"/>
                <w:b/>
              </w:rPr>
              <w:t>Valoració comparativa  dels resultats de les  àrees /matèries avaluades obtinguts a final de  curs amb els obtinguts a l’informe inicial de l’IAQSE  de les proves diagnòstic</w:t>
            </w:r>
          </w:p>
          <w:p>
            <w:pPr>
              <w:pStyle w:val="Normal"/>
              <w:widowControl w:val="false"/>
              <w:pBdr/>
              <w:spacing w:before="0" w:after="100"/>
              <w:jc w:val="left"/>
              <w:rPr>
                <w:rFonts w:ascii="Noto Sans" w:hAnsi="Noto Sans" w:eastAsia="Noto Sans" w:cs="Noto Sans"/>
              </w:rPr>
            </w:pPr>
            <w:r>
              <w:rPr>
                <w:rFonts w:eastAsia="Noto Sans" w:cs="Noto Sans" w:ascii="Noto Sans" w:hAnsi="Noto Sans"/>
              </w:rPr>
            </w:r>
          </w:p>
          <w:p>
            <w:pPr>
              <w:pStyle w:val="Normal"/>
              <w:widowControl w:val="false"/>
              <w:pBdr/>
              <w:spacing w:before="0" w:after="100"/>
              <w:jc w:val="left"/>
              <w:rPr>
                <w:rFonts w:ascii="Noto Sans" w:hAnsi="Noto Sans" w:eastAsia="Noto Sans" w:cs="Noto Sans"/>
              </w:rPr>
            </w:pPr>
            <w:r>
              <w:rPr>
                <w:rFonts w:eastAsia="Noto Sans" w:cs="Noto Sans" w:ascii="Noto Sans" w:hAnsi="Noto Sans"/>
              </w:rPr>
              <w:t>- Informe valoratiu (memòria de cicle o departament i dades de SEDEIB)</w:t>
            </w:r>
          </w:p>
          <w:p>
            <w:pPr>
              <w:pStyle w:val="Normal"/>
              <w:widowControl w:val="false"/>
              <w:pBdr/>
              <w:spacing w:before="0" w:after="100"/>
              <w:jc w:val="left"/>
              <w:rPr>
                <w:rFonts w:ascii="Noto Sans" w:hAnsi="Noto Sans" w:eastAsia="Noto Sans" w:cs="Noto Sans"/>
                <w:strike/>
              </w:rPr>
            </w:pPr>
            <w:r>
              <w:rPr>
                <w:rFonts w:eastAsia="Noto Sans" w:cs="Noto Sans" w:ascii="Noto Sans" w:hAnsi="Noto Sans"/>
              </w:rPr>
              <w:t>- Comparació entre els resultats obtinguts en les proves de diagnòstic (informe IAQSE) i els resultats obtinguts a final de curs  (SEDEIB i actes d’avaluació)</w:t>
            </w:r>
          </w:p>
          <w:p>
            <w:pPr>
              <w:pStyle w:val="Normal"/>
              <w:spacing w:before="0" w:after="100"/>
              <w:rPr>
                <w:rFonts w:ascii="Noto Sans" w:hAnsi="Noto Sans" w:eastAsia="Noto Sans" w:cs="Noto Sans"/>
              </w:rPr>
            </w:pPr>
            <w:r>
              <w:rPr>
                <w:rFonts w:eastAsia="Noto Sans" w:cs="Noto Sans" w:ascii="Noto Sans" w:hAnsi="Noto Sans"/>
              </w:rPr>
            </w:r>
          </w:p>
          <w:p>
            <w:pPr>
              <w:pStyle w:val="Normal"/>
              <w:spacing w:before="0" w:after="100"/>
              <w:rPr>
                <w:rFonts w:ascii="Noto Sans" w:hAnsi="Noto Sans" w:eastAsia="Noto Sans" w:cs="Noto Sans"/>
              </w:rPr>
            </w:pPr>
            <w:r>
              <w:rPr>
                <w:rFonts w:eastAsia="Noto Sans" w:cs="Noto Sans" w:ascii="Noto Sans" w:hAnsi="Noto Sans"/>
              </w:rPr>
            </w:r>
          </w:p>
        </w:tc>
        <w:tc>
          <w:tcPr>
            <w:tcW w:w="1842"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pBdr/>
              <w:spacing w:before="0" w:after="100"/>
              <w:jc w:val="left"/>
              <w:rPr>
                <w:rFonts w:ascii="Noto Sans" w:hAnsi="Noto Sans" w:eastAsia="Noto Sans" w:cs="Noto Sans"/>
                <w:color w:val="000000"/>
              </w:rPr>
            </w:pPr>
            <w:r>
              <w:rPr>
                <w:rFonts w:eastAsia="Noto Sans" w:cs="Noto Sans" w:ascii="Noto Sans" w:hAnsi="Noto Sans"/>
                <w:color w:val="000000"/>
              </w:rPr>
              <w:t>En finalitzar les avaluacions finals de curs (dades SEDEIB) i en rebre  els resultats inicials de les proves IAQSE</w:t>
            </w:r>
          </w:p>
        </w:tc>
        <w:tc>
          <w:tcPr>
            <w:tcW w:w="284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pBdr/>
              <w:spacing w:before="0" w:after="100"/>
              <w:jc w:val="left"/>
              <w:rPr>
                <w:rFonts w:ascii="Noto Sans" w:hAnsi="Noto Sans" w:eastAsia="Noto Sans" w:cs="Noto Sans"/>
                <w:color w:val="000000"/>
              </w:rPr>
            </w:pPr>
            <w:r>
              <w:rPr>
                <w:rFonts w:eastAsia="Noto Sans" w:cs="Noto Sans" w:ascii="Noto Sans" w:hAnsi="Noto Sans"/>
                <w:color w:val="000000"/>
              </w:rPr>
              <w:t>Mestres  professorat que imparteix la matèria</w:t>
            </w:r>
          </w:p>
          <w:p>
            <w:pPr>
              <w:pStyle w:val="Normal"/>
              <w:pBdr/>
              <w:spacing w:before="0" w:after="100"/>
              <w:jc w:val="left"/>
              <w:rPr>
                <w:rFonts w:ascii="Noto Sans" w:hAnsi="Noto Sans" w:eastAsia="Noto Sans" w:cs="Noto Sans"/>
                <w:color w:val="000000"/>
              </w:rPr>
            </w:pPr>
            <w:r>
              <w:rPr>
                <w:rFonts w:eastAsia="Noto Sans" w:cs="Noto Sans" w:ascii="Noto Sans" w:hAnsi="Noto Sans"/>
                <w:color w:val="000000"/>
              </w:rPr>
              <w:t>Cicles/departaments de coordinaci</w:t>
            </w:r>
            <w:r>
              <w:rPr>
                <w:rFonts w:eastAsia="Noto Sans" w:cs="Noto Sans" w:ascii="Noto Sans" w:hAnsi="Noto Sans"/>
              </w:rPr>
              <w:t xml:space="preserve">ó </w:t>
            </w:r>
            <w:r>
              <w:rPr>
                <w:rFonts w:eastAsia="Noto Sans" w:cs="Noto Sans" w:ascii="Noto Sans" w:hAnsi="Noto Sans"/>
                <w:color w:val="000000"/>
              </w:rPr>
              <w:t>didàctic</w:t>
            </w:r>
            <w:r>
              <w:rPr>
                <w:rFonts w:eastAsia="Noto Sans" w:cs="Noto Sans" w:ascii="Noto Sans" w:hAnsi="Noto Sans"/>
              </w:rPr>
              <w:t>a</w:t>
            </w:r>
          </w:p>
          <w:p>
            <w:pPr>
              <w:pStyle w:val="Normal"/>
              <w:pBdr/>
              <w:spacing w:before="0" w:after="100"/>
              <w:jc w:val="left"/>
              <w:rPr>
                <w:rFonts w:ascii="Noto Sans" w:hAnsi="Noto Sans" w:eastAsia="Noto Sans" w:cs="Noto Sans"/>
                <w:color w:val="000000"/>
              </w:rPr>
            </w:pPr>
            <w:r>
              <w:rPr>
                <w:rFonts w:eastAsia="Noto Sans" w:cs="Noto Sans" w:ascii="Noto Sans" w:hAnsi="Noto Sans"/>
                <w:color w:val="000000"/>
              </w:rPr>
              <w:t>Sota la coordinació de l’equip directiu, CCP i Comissió d’avaluació de les proves</w:t>
            </w:r>
          </w:p>
        </w:tc>
      </w:tr>
      <w:tr>
        <w:trPr/>
        <w:tc>
          <w:tcPr>
            <w:tcW w:w="963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before="0" w:after="100"/>
              <w:jc w:val="left"/>
              <w:rPr>
                <w:rFonts w:ascii="Noto Sans" w:hAnsi="Noto Sans" w:eastAsia="Noto Sans" w:cs="Noto Sans"/>
                <w:b/>
                <w:b/>
              </w:rPr>
            </w:pPr>
            <w:r>
              <w:rPr>
                <w:rFonts w:eastAsia="Noto Sans" w:cs="Noto Sans" w:ascii="Noto Sans" w:hAnsi="Noto Sans"/>
                <w:b/>
              </w:rPr>
              <w:t>Elaboració d’un informe de valoració de resultats obtinguts en cada competència en relació amb:</w:t>
            </w:r>
          </w:p>
          <w:p>
            <w:pPr>
              <w:pStyle w:val="Normal"/>
              <w:spacing w:before="0" w:after="100"/>
              <w:jc w:val="left"/>
              <w:rPr>
                <w:rFonts w:ascii="Noto Sans" w:hAnsi="Noto Sans" w:eastAsia="Noto Sans" w:cs="Noto Sans"/>
              </w:rPr>
            </w:pPr>
            <w:r>
              <w:rPr>
                <w:rFonts w:eastAsia="Noto Sans" w:cs="Noto Sans" w:ascii="Noto Sans" w:hAnsi="Noto Sans"/>
              </w:rPr>
              <w:t>- Percentatge de participació (percentatges d’avaluats, no avaluats i exclosos)</w:t>
            </w:r>
          </w:p>
          <w:p>
            <w:pPr>
              <w:pStyle w:val="Normal"/>
              <w:spacing w:before="0" w:after="100"/>
              <w:jc w:val="left"/>
              <w:rPr>
                <w:rFonts w:ascii="Noto Sans" w:hAnsi="Noto Sans" w:eastAsia="Noto Sans" w:cs="Noto Sans"/>
              </w:rPr>
            </w:pPr>
            <w:r>
              <w:rPr>
                <w:rFonts w:eastAsia="Noto Sans" w:cs="Noto Sans" w:ascii="Noto Sans" w:hAnsi="Noto Sans"/>
              </w:rPr>
              <w:t>- Resultats de la puntuació TRI  de centre  en  relació amb el resultat mitjà de consolidació, mitjana de l’Illa, mitjana segons  la  titularitat</w:t>
            </w:r>
          </w:p>
          <w:p>
            <w:pPr>
              <w:pStyle w:val="Normal"/>
              <w:spacing w:before="0" w:after="100"/>
              <w:jc w:val="left"/>
              <w:rPr>
                <w:rFonts w:ascii="Noto Sans" w:hAnsi="Noto Sans" w:eastAsia="Noto Sans" w:cs="Noto Sans"/>
              </w:rPr>
            </w:pPr>
            <w:r>
              <w:rPr>
                <w:rFonts w:eastAsia="Noto Sans" w:cs="Noto Sans" w:ascii="Noto Sans" w:hAnsi="Noto Sans"/>
              </w:rPr>
              <w:t>- Determinació del % d’alumnat distribuït en cada nivell de rendiment ( 5 nivells : Molt baix, baix, intermedi baix, intermedi, intermedi alt, alt) i el Grau de consolidació de la competència ( 3 graus : No consolidada, en procés de consolidació, consolidada)</w:t>
            </w:r>
          </w:p>
          <w:p>
            <w:pPr>
              <w:pStyle w:val="Normal"/>
              <w:spacing w:before="0" w:after="100"/>
              <w:jc w:val="left"/>
              <w:rPr>
                <w:rFonts w:ascii="Noto Sans" w:hAnsi="Noto Sans" w:eastAsia="Noto Sans" w:cs="Noto Sans"/>
              </w:rPr>
            </w:pPr>
            <w:r>
              <w:rPr>
                <w:rFonts w:eastAsia="Noto Sans" w:cs="Noto Sans" w:ascii="Noto Sans" w:hAnsi="Noto Sans"/>
              </w:rPr>
              <w:t>- Valor afegit pel centre en cada competència avaluada</w:t>
            </w:r>
          </w:p>
          <w:p>
            <w:pPr>
              <w:pStyle w:val="Normal"/>
              <w:spacing w:before="0" w:after="100"/>
              <w:jc w:val="left"/>
              <w:rPr>
                <w:rFonts w:ascii="Noto Sans" w:hAnsi="Noto Sans" w:eastAsia="Noto Sans" w:cs="Noto Sans"/>
              </w:rPr>
            </w:pPr>
            <w:r>
              <w:rPr>
                <w:rFonts w:eastAsia="Noto Sans" w:cs="Noto Sans" w:ascii="Noto Sans" w:hAnsi="Noto Sans"/>
              </w:rPr>
              <w:t xml:space="preserve">- Anàlisi dels  indicadors d’assoliment  dels nivells de rendiment de cada competència </w:t>
            </w:r>
          </w:p>
          <w:p>
            <w:pPr>
              <w:pStyle w:val="Normal"/>
              <w:pBdr/>
              <w:spacing w:before="0" w:after="100"/>
              <w:jc w:val="left"/>
              <w:rPr>
                <w:rFonts w:ascii="Noto Sans" w:hAnsi="Noto Sans" w:eastAsia="Noto Sans" w:cs="Noto Sans"/>
                <w:b/>
                <w:b/>
                <w:color w:val="000000"/>
              </w:rPr>
            </w:pPr>
            <w:r>
              <w:rPr>
                <w:rFonts w:eastAsia="Noto Sans" w:cs="Noto Sans" w:ascii="Noto Sans" w:hAnsi="Noto Sans"/>
                <w:b/>
                <w:color w:val="000000"/>
              </w:rPr>
              <w:t>Determinació dels punts forts i febles respecte cada competència avaluada a partir de:</w:t>
            </w:r>
          </w:p>
          <w:p>
            <w:pPr>
              <w:pStyle w:val="Normal"/>
              <w:pBdr/>
              <w:spacing w:before="0" w:after="100"/>
              <w:jc w:val="left"/>
              <w:rPr>
                <w:color w:val="000000"/>
              </w:rPr>
            </w:pPr>
            <w:r>
              <w:rPr>
                <w:rFonts w:eastAsia="Noto Sans" w:cs="Noto Sans" w:ascii="Noto Sans" w:hAnsi="Noto Sans"/>
                <w:color w:val="000000"/>
              </w:rPr>
              <w:t>Percentatge  d’alumnat que ha assolit cada nivell, prenent com a referència els descriptors de les  escales TRI</w:t>
            </w:r>
          </w:p>
        </w:tc>
        <w:tc>
          <w:tcPr>
            <w:tcW w:w="1842"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pBdr/>
              <w:spacing w:before="0" w:after="100"/>
              <w:jc w:val="left"/>
              <w:rPr>
                <w:rFonts w:ascii="Noto Sans" w:hAnsi="Noto Sans" w:eastAsia="Noto Sans" w:cs="Noto Sans"/>
              </w:rPr>
            </w:pPr>
            <w:r>
              <w:rPr>
                <w:rFonts w:eastAsia="Noto Sans" w:cs="Noto Sans" w:ascii="Noto Sans" w:hAnsi="Noto Sans"/>
              </w:rPr>
              <w:t>Informe de resultats finals de centre elaborats per l’IAQSE</w:t>
            </w:r>
          </w:p>
        </w:tc>
        <w:tc>
          <w:tcPr>
            <w:tcW w:w="284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pBdr/>
              <w:spacing w:before="0" w:after="100"/>
              <w:jc w:val="left"/>
              <w:rPr>
                <w:rFonts w:ascii="Noto Sans" w:hAnsi="Noto Sans" w:eastAsia="Noto Sans" w:cs="Noto Sans"/>
                <w:color w:val="000000"/>
              </w:rPr>
            </w:pPr>
            <w:r>
              <w:rPr>
                <w:rFonts w:eastAsia="Noto Sans" w:cs="Noto Sans" w:ascii="Noto Sans" w:hAnsi="Noto Sans"/>
                <w:color w:val="000000"/>
              </w:rPr>
              <w:t>Equip directiu</w:t>
            </w:r>
          </w:p>
          <w:p>
            <w:pPr>
              <w:pStyle w:val="Normal"/>
              <w:pBdr/>
              <w:spacing w:before="0" w:after="100"/>
              <w:jc w:val="left"/>
              <w:rPr>
                <w:rFonts w:ascii="Noto Sans" w:hAnsi="Noto Sans" w:eastAsia="Noto Sans" w:cs="Noto Sans"/>
                <w:color w:val="000000"/>
              </w:rPr>
            </w:pPr>
            <w:r>
              <w:rPr>
                <w:rFonts w:eastAsia="Noto Sans" w:cs="Noto Sans" w:ascii="Noto Sans" w:hAnsi="Noto Sans"/>
                <w:color w:val="000000"/>
              </w:rPr>
              <w:t>Comissió d’avaluació de centre</w:t>
            </w:r>
          </w:p>
          <w:p>
            <w:pPr>
              <w:pStyle w:val="Normal"/>
              <w:pBdr/>
              <w:spacing w:before="0" w:after="100"/>
              <w:jc w:val="left"/>
              <w:rPr>
                <w:rFonts w:ascii="Noto Sans" w:hAnsi="Noto Sans" w:eastAsia="Noto Sans" w:cs="Noto Sans"/>
                <w:color w:val="000000"/>
              </w:rPr>
            </w:pPr>
            <w:r>
              <w:rPr>
                <w:rFonts w:eastAsia="Noto Sans" w:cs="Noto Sans" w:ascii="Noto Sans" w:hAnsi="Noto Sans"/>
                <w:color w:val="000000"/>
              </w:rPr>
              <w:t>CCP</w:t>
            </w:r>
          </w:p>
        </w:tc>
      </w:tr>
      <w:tr>
        <w:trPr/>
        <w:tc>
          <w:tcPr>
            <w:tcW w:w="963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before="0" w:after="100"/>
              <w:jc w:val="left"/>
              <w:rPr>
                <w:rFonts w:ascii="Noto Sans" w:hAnsi="Noto Sans" w:eastAsia="Noto Sans" w:cs="Noto Sans"/>
                <w:b/>
                <w:b/>
              </w:rPr>
            </w:pPr>
            <w:r>
              <w:rPr>
                <w:rFonts w:eastAsia="Noto Sans" w:cs="Noto Sans" w:ascii="Noto Sans" w:hAnsi="Noto Sans"/>
                <w:b/>
              </w:rPr>
              <w:t>Concreció d’una proposta de pla de millora per al nivell educatiu avaluat</w:t>
            </w:r>
          </w:p>
          <w:p>
            <w:pPr>
              <w:pStyle w:val="Normal"/>
              <w:spacing w:before="0" w:after="100"/>
              <w:jc w:val="left"/>
              <w:rPr>
                <w:rFonts w:ascii="Noto Sans" w:hAnsi="Noto Sans" w:eastAsia="Noto Sans" w:cs="Noto Sans"/>
              </w:rPr>
            </w:pPr>
            <w:r>
              <w:rPr>
                <w:rFonts w:eastAsia="Noto Sans" w:cs="Noto Sans" w:ascii="Noto Sans" w:hAnsi="Noto Sans"/>
              </w:rPr>
              <w:t>- Determinació dels processos cognitius i de les accions susceptibles de millora (no consolidades/en procés de consolidació), l’atribució de responsabilitats i la concreció dels mecanismes de seguiment i d’avaluació.</w:t>
            </w:r>
          </w:p>
          <w:p>
            <w:pPr>
              <w:pStyle w:val="Normal"/>
              <w:spacing w:before="0" w:after="100"/>
              <w:jc w:val="left"/>
              <w:rPr/>
            </w:pPr>
            <w:r>
              <w:rPr>
                <w:rFonts w:eastAsia="Noto Sans" w:cs="Noto Sans" w:ascii="Noto Sans" w:hAnsi="Noto Sans"/>
              </w:rPr>
              <w:t>-</w:t>
            </w:r>
            <w:r>
              <w:rPr>
                <w:rFonts w:eastAsia="Noto Sans" w:cs="Noto Sans" w:ascii="Noto Sans" w:hAnsi="Noto Sans"/>
                <w:b/>
              </w:rPr>
              <w:t>Concreció d’una proposta de pla de millora per als nivells educatius previs i posteriors</w:t>
            </w:r>
          </w:p>
          <w:p>
            <w:pPr>
              <w:pStyle w:val="Normal"/>
              <w:pBdr/>
              <w:spacing w:before="0" w:after="100"/>
              <w:jc w:val="left"/>
              <w:rPr>
                <w:rFonts w:ascii="Noto Sans" w:hAnsi="Noto Sans" w:eastAsia="Noto Sans" w:cs="Noto Sans"/>
                <w:color w:val="FF0000"/>
              </w:rPr>
            </w:pPr>
            <w:r>
              <w:rPr>
                <w:rFonts w:eastAsia="Noto Sans" w:cs="Noto Sans" w:ascii="Noto Sans" w:hAnsi="Noto Sans"/>
                <w:b/>
                <w:color w:val="000000"/>
              </w:rPr>
              <w:t xml:space="preserve">- </w:t>
            </w:r>
            <w:r>
              <w:rPr>
                <w:rFonts w:eastAsia="Noto Sans" w:cs="Noto Sans" w:ascii="Noto Sans" w:hAnsi="Noto Sans"/>
                <w:color w:val="000000"/>
              </w:rPr>
              <w:t>Adequació del pla de millora  als nivells educatius  superiors i inferiors a l’avaluat per donar continuïtat a les  accions de millora per l’assoliment de les competències / línia metodològica)</w:t>
            </w:r>
          </w:p>
        </w:tc>
        <w:tc>
          <w:tcPr>
            <w:tcW w:w="1842"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pBdr/>
              <w:spacing w:before="0" w:after="100"/>
              <w:jc w:val="left"/>
              <w:rPr>
                <w:rFonts w:ascii="Noto Sans" w:hAnsi="Noto Sans" w:eastAsia="Noto Sans" w:cs="Noto Sans"/>
                <w:color w:val="000000"/>
              </w:rPr>
            </w:pPr>
            <w:r>
              <w:rPr>
                <w:rFonts w:eastAsia="Noto Sans" w:cs="Noto Sans" w:ascii="Noto Sans" w:hAnsi="Noto Sans"/>
                <w:color w:val="000000"/>
              </w:rPr>
            </w:r>
          </w:p>
        </w:tc>
        <w:tc>
          <w:tcPr>
            <w:tcW w:w="284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pBdr/>
              <w:spacing w:before="0" w:after="100"/>
              <w:jc w:val="left"/>
              <w:rPr>
                <w:rFonts w:ascii="Noto Sans" w:hAnsi="Noto Sans" w:eastAsia="Noto Sans" w:cs="Noto Sans"/>
                <w:color w:val="000000"/>
              </w:rPr>
            </w:pPr>
            <w:r>
              <w:rPr>
                <w:rFonts w:eastAsia="Noto Sans" w:cs="Noto Sans" w:ascii="Noto Sans" w:hAnsi="Noto Sans"/>
                <w:color w:val="000000"/>
              </w:rPr>
              <w:t>CCP</w:t>
            </w:r>
          </w:p>
          <w:p>
            <w:pPr>
              <w:pStyle w:val="Normal"/>
              <w:pBdr/>
              <w:spacing w:before="0" w:after="100"/>
              <w:jc w:val="left"/>
              <w:rPr>
                <w:rFonts w:ascii="Noto Sans" w:hAnsi="Noto Sans" w:eastAsia="Noto Sans" w:cs="Noto Sans"/>
              </w:rPr>
            </w:pPr>
            <w:r>
              <w:rPr>
                <w:rFonts w:eastAsia="Noto Sans" w:cs="Noto Sans" w:ascii="Noto Sans" w:hAnsi="Noto Sans"/>
              </w:rPr>
              <w:t>i</w:t>
            </w:r>
          </w:p>
          <w:p>
            <w:pPr>
              <w:pStyle w:val="Normal"/>
              <w:pBdr/>
              <w:spacing w:before="0" w:after="100"/>
              <w:jc w:val="left"/>
              <w:rPr>
                <w:rFonts w:ascii="Noto Sans" w:hAnsi="Noto Sans" w:eastAsia="Noto Sans" w:cs="Noto Sans"/>
              </w:rPr>
            </w:pPr>
            <w:r>
              <w:rPr>
                <w:rFonts w:eastAsia="Noto Sans" w:cs="Noto Sans" w:ascii="Noto Sans" w:hAnsi="Noto Sans"/>
              </w:rPr>
              <w:t>Aprovació Claustre</w:t>
            </w:r>
          </w:p>
        </w:tc>
      </w:tr>
      <w:tr>
        <w:trPr/>
        <w:tc>
          <w:tcPr>
            <w:tcW w:w="963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pBdr/>
              <w:spacing w:before="0" w:after="100"/>
              <w:jc w:val="left"/>
              <w:rPr>
                <w:rFonts w:ascii="Noto Sans" w:hAnsi="Noto Sans" w:eastAsia="Noto Sans" w:cs="Noto Sans"/>
                <w:b/>
                <w:b/>
                <w:color w:val="000000"/>
              </w:rPr>
            </w:pPr>
            <w:r>
              <w:rPr>
                <w:rFonts w:eastAsia="Noto Sans" w:cs="Noto Sans" w:ascii="Noto Sans" w:hAnsi="Noto Sans"/>
                <w:b/>
                <w:color w:val="000000"/>
              </w:rPr>
              <w:t>Presentació dels resultats de centre de les proves d’avaluació diagnòstic i determinació dels punts forts i febles a:</w:t>
            </w:r>
          </w:p>
          <w:p>
            <w:pPr>
              <w:pStyle w:val="Normal"/>
              <w:pBdr/>
              <w:spacing w:before="0" w:after="100"/>
              <w:jc w:val="left"/>
              <w:rPr>
                <w:rFonts w:ascii="Noto Sans" w:hAnsi="Noto Sans" w:eastAsia="Noto Sans" w:cs="Noto Sans"/>
                <w:color w:val="000000"/>
              </w:rPr>
            </w:pPr>
            <w:r>
              <w:rPr>
                <w:rFonts w:eastAsia="Noto Sans" w:cs="Noto Sans" w:ascii="Noto Sans" w:hAnsi="Noto Sans"/>
                <w:color w:val="000000"/>
              </w:rPr>
              <w:t xml:space="preserve"> </w:t>
            </w:r>
            <w:r>
              <w:rPr>
                <w:rFonts w:eastAsia="Noto Sans" w:cs="Noto Sans" w:ascii="Noto Sans" w:hAnsi="Noto Sans"/>
                <w:color w:val="000000"/>
              </w:rPr>
              <w:t>Claustre</w:t>
            </w:r>
          </w:p>
          <w:p>
            <w:pPr>
              <w:pStyle w:val="Normal"/>
              <w:pBdr/>
              <w:spacing w:before="0" w:after="100"/>
              <w:jc w:val="left"/>
              <w:rPr>
                <w:rFonts w:ascii="Noto Sans" w:hAnsi="Noto Sans" w:eastAsia="Noto Sans" w:cs="Noto Sans"/>
                <w:color w:val="000000"/>
              </w:rPr>
            </w:pPr>
            <w:r>
              <w:rPr>
                <w:rFonts w:eastAsia="Noto Sans" w:cs="Noto Sans" w:ascii="Noto Sans" w:hAnsi="Noto Sans"/>
                <w:color w:val="000000"/>
              </w:rPr>
              <w:t xml:space="preserve"> </w:t>
            </w:r>
            <w:r>
              <w:rPr>
                <w:rFonts w:eastAsia="Noto Sans" w:cs="Noto Sans" w:ascii="Noto Sans" w:hAnsi="Noto Sans"/>
                <w:color w:val="000000"/>
              </w:rPr>
              <w:t xml:space="preserve">Consell </w:t>
            </w:r>
            <w:r>
              <w:rPr>
                <w:rFonts w:eastAsia="Noto Sans" w:cs="Noto Sans" w:ascii="Noto Sans" w:hAnsi="Noto Sans"/>
              </w:rPr>
              <w:t>E</w:t>
            </w:r>
            <w:r>
              <w:rPr>
                <w:rFonts w:eastAsia="Noto Sans" w:cs="Noto Sans" w:ascii="Noto Sans" w:hAnsi="Noto Sans"/>
                <w:color w:val="000000"/>
              </w:rPr>
              <w:t>scolar</w:t>
            </w:r>
          </w:p>
          <w:p>
            <w:pPr>
              <w:pStyle w:val="Normal"/>
              <w:pBdr/>
              <w:spacing w:before="0" w:after="100"/>
              <w:jc w:val="left"/>
              <w:rPr>
                <w:rFonts w:ascii="Noto Sans" w:hAnsi="Noto Sans" w:eastAsia="Noto Sans" w:cs="Noto Sans"/>
                <w:color w:val="000000"/>
              </w:rPr>
            </w:pPr>
            <w:r>
              <w:rPr>
                <w:rFonts w:eastAsia="Noto Sans" w:cs="Noto Sans" w:ascii="Noto Sans" w:hAnsi="Noto Sans"/>
                <w:color w:val="000000"/>
              </w:rPr>
              <w:t xml:space="preserve"> </w:t>
            </w:r>
            <w:r>
              <w:rPr>
                <w:rFonts w:eastAsia="Noto Sans" w:cs="Noto Sans" w:ascii="Noto Sans" w:hAnsi="Noto Sans"/>
                <w:color w:val="000000"/>
              </w:rPr>
              <w:t>Pares i mares de l’alumnat avaluat</w:t>
            </w:r>
          </w:p>
        </w:tc>
        <w:tc>
          <w:tcPr>
            <w:tcW w:w="1842"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pBdr/>
              <w:spacing w:before="0" w:after="100"/>
              <w:jc w:val="left"/>
              <w:rPr>
                <w:rFonts w:ascii="Noto Sans" w:hAnsi="Noto Sans" w:eastAsia="Noto Sans" w:cs="Noto Sans"/>
                <w:color w:val="000000"/>
              </w:rPr>
            </w:pPr>
            <w:r>
              <w:rPr>
                <w:rFonts w:eastAsia="Noto Sans" w:cs="Noto Sans" w:ascii="Noto Sans" w:hAnsi="Noto Sans"/>
                <w:color w:val="000000"/>
              </w:rPr>
              <w:t>Informe valoratiu i pla elaborat pel centre</w:t>
            </w:r>
          </w:p>
        </w:tc>
        <w:tc>
          <w:tcPr>
            <w:tcW w:w="284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pBdr/>
              <w:spacing w:before="0" w:after="100"/>
              <w:jc w:val="left"/>
              <w:rPr>
                <w:rFonts w:ascii="Noto Sans" w:hAnsi="Noto Sans" w:eastAsia="Noto Sans" w:cs="Noto Sans"/>
                <w:color w:val="000000"/>
              </w:rPr>
            </w:pPr>
            <w:r>
              <w:rPr>
                <w:rFonts w:eastAsia="Noto Sans" w:cs="Noto Sans" w:ascii="Noto Sans" w:hAnsi="Noto Sans"/>
                <w:color w:val="000000"/>
              </w:rPr>
              <w:t>Comissió d’avaluació del centre</w:t>
            </w:r>
          </w:p>
          <w:p>
            <w:pPr>
              <w:pStyle w:val="Normal"/>
              <w:pBdr/>
              <w:spacing w:before="0" w:after="100"/>
              <w:jc w:val="left"/>
              <w:rPr>
                <w:rFonts w:ascii="Noto Sans" w:hAnsi="Noto Sans" w:eastAsia="Noto Sans" w:cs="Noto Sans"/>
                <w:color w:val="000000"/>
              </w:rPr>
            </w:pPr>
            <w:r>
              <w:rPr>
                <w:rFonts w:eastAsia="Noto Sans" w:cs="Noto Sans" w:ascii="Noto Sans" w:hAnsi="Noto Sans"/>
                <w:color w:val="000000"/>
              </w:rPr>
              <w:t>Equip directiu</w:t>
            </w:r>
          </w:p>
        </w:tc>
      </w:tr>
      <w:tr>
        <w:trPr/>
        <w:tc>
          <w:tcPr>
            <w:tcW w:w="963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pBdr/>
              <w:spacing w:before="0" w:after="100"/>
              <w:jc w:val="left"/>
              <w:rPr>
                <w:rFonts w:ascii="Noto Sans" w:hAnsi="Noto Sans" w:eastAsia="Noto Sans" w:cs="Noto Sans"/>
                <w:b/>
                <w:b/>
                <w:color w:val="000000"/>
              </w:rPr>
            </w:pPr>
            <w:r>
              <w:rPr>
                <w:rFonts w:eastAsia="Noto Sans" w:cs="Noto Sans" w:ascii="Noto Sans" w:hAnsi="Noto Sans"/>
                <w:b/>
                <w:color w:val="000000"/>
              </w:rPr>
              <w:t xml:space="preserve">Incorporació del </w:t>
            </w:r>
            <w:r>
              <w:rPr>
                <w:rFonts w:eastAsia="Noto Sans" w:cs="Noto Sans" w:ascii="Noto Sans" w:hAnsi="Noto Sans"/>
                <w:b/>
              </w:rPr>
              <w:t>p</w:t>
            </w:r>
            <w:r>
              <w:rPr>
                <w:rFonts w:eastAsia="Noto Sans" w:cs="Noto Sans" w:ascii="Noto Sans" w:hAnsi="Noto Sans"/>
                <w:b/>
                <w:color w:val="000000"/>
              </w:rPr>
              <w:t xml:space="preserve">la de </w:t>
            </w:r>
            <w:r>
              <w:rPr>
                <w:rFonts w:eastAsia="Noto Sans" w:cs="Noto Sans" w:ascii="Noto Sans" w:hAnsi="Noto Sans"/>
                <w:b/>
              </w:rPr>
              <w:t>m</w:t>
            </w:r>
            <w:r>
              <w:rPr>
                <w:rFonts w:eastAsia="Noto Sans" w:cs="Noto Sans" w:ascii="Noto Sans" w:hAnsi="Noto Sans"/>
                <w:b/>
                <w:color w:val="000000"/>
              </w:rPr>
              <w:t>illora a la PGA</w:t>
            </w:r>
          </w:p>
          <w:p>
            <w:pPr>
              <w:pStyle w:val="Normal"/>
              <w:pBdr/>
              <w:spacing w:before="0" w:after="100"/>
              <w:jc w:val="left"/>
              <w:rPr>
                <w:rFonts w:ascii="Noto Sans" w:hAnsi="Noto Sans" w:eastAsia="Noto Sans" w:cs="Noto Sans"/>
              </w:rPr>
            </w:pPr>
            <w:r>
              <w:rPr>
                <w:rFonts w:eastAsia="Noto Sans" w:cs="Noto Sans" w:ascii="Noto Sans" w:hAnsi="Noto Sans"/>
                <w:color w:val="000000"/>
              </w:rPr>
              <w:t xml:space="preserve">Seguiment de la implementació i avaluació del </w:t>
            </w:r>
            <w:r>
              <w:rPr>
                <w:rFonts w:eastAsia="Noto Sans" w:cs="Noto Sans" w:ascii="Noto Sans" w:hAnsi="Noto Sans"/>
              </w:rPr>
              <w:t>p</w:t>
            </w:r>
            <w:r>
              <w:rPr>
                <w:rFonts w:eastAsia="Noto Sans" w:cs="Noto Sans" w:ascii="Noto Sans" w:hAnsi="Noto Sans"/>
                <w:color w:val="000000"/>
              </w:rPr>
              <w:t xml:space="preserve">la de </w:t>
            </w:r>
            <w:r>
              <w:rPr>
                <w:rFonts w:eastAsia="Noto Sans" w:cs="Noto Sans" w:ascii="Noto Sans" w:hAnsi="Noto Sans"/>
              </w:rPr>
              <w:t>m</w:t>
            </w:r>
            <w:r>
              <w:rPr>
                <w:rFonts w:eastAsia="Noto Sans" w:cs="Noto Sans" w:ascii="Noto Sans" w:hAnsi="Noto Sans"/>
                <w:color w:val="000000"/>
              </w:rPr>
              <w:t>illora.</w:t>
            </w:r>
            <w:r>
              <w:rPr>
                <w:rFonts w:eastAsia="Noto Sans" w:cs="Noto Sans" w:ascii="Noto Sans" w:hAnsi="Noto Sans"/>
              </w:rPr>
              <w:t xml:space="preserve"> Aquests plans s’han d’anar ajustant segons resultats obtinguts en les diferents convocatòries de proves externes</w:t>
            </w:r>
          </w:p>
        </w:tc>
        <w:tc>
          <w:tcPr>
            <w:tcW w:w="1842"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pBdr/>
              <w:spacing w:before="0" w:after="100"/>
              <w:jc w:val="left"/>
              <w:rPr>
                <w:rFonts w:ascii="Noto Sans" w:hAnsi="Noto Sans" w:eastAsia="Noto Sans" w:cs="Noto Sans"/>
                <w:color w:val="000000"/>
              </w:rPr>
            </w:pPr>
            <w:r>
              <w:rPr>
                <w:rFonts w:eastAsia="Noto Sans" w:cs="Noto Sans" w:ascii="Noto Sans" w:hAnsi="Noto Sans"/>
                <w:color w:val="000000"/>
              </w:rPr>
              <w:t xml:space="preserve">Pla de </w:t>
            </w:r>
            <w:r>
              <w:rPr>
                <w:rFonts w:eastAsia="Noto Sans" w:cs="Noto Sans" w:ascii="Noto Sans" w:hAnsi="Noto Sans"/>
              </w:rPr>
              <w:t>m</w:t>
            </w:r>
            <w:r>
              <w:rPr>
                <w:rFonts w:eastAsia="Noto Sans" w:cs="Noto Sans" w:ascii="Noto Sans" w:hAnsi="Noto Sans"/>
                <w:color w:val="000000"/>
              </w:rPr>
              <w:t>illora elaborat pel centre</w:t>
            </w:r>
          </w:p>
        </w:tc>
        <w:tc>
          <w:tcPr>
            <w:tcW w:w="284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pBdr/>
              <w:spacing w:before="0" w:after="100"/>
              <w:jc w:val="left"/>
              <w:rPr>
                <w:rFonts w:ascii="Noto Sans" w:hAnsi="Noto Sans" w:eastAsia="Noto Sans" w:cs="Noto Sans"/>
                <w:color w:val="000000"/>
              </w:rPr>
            </w:pPr>
            <w:r>
              <w:rPr>
                <w:rFonts w:eastAsia="Noto Sans" w:cs="Noto Sans" w:ascii="Noto Sans" w:hAnsi="Noto Sans"/>
                <w:color w:val="000000"/>
              </w:rPr>
              <w:t>Equip directiu</w:t>
            </w:r>
          </w:p>
          <w:p>
            <w:pPr>
              <w:pStyle w:val="Normal"/>
              <w:pBdr/>
              <w:spacing w:before="0" w:after="100"/>
              <w:jc w:val="left"/>
              <w:rPr>
                <w:rFonts w:ascii="Noto Sans" w:hAnsi="Noto Sans" w:eastAsia="Noto Sans" w:cs="Noto Sans"/>
                <w:color w:val="000000"/>
              </w:rPr>
            </w:pPr>
            <w:r>
              <w:rPr>
                <w:rFonts w:eastAsia="Noto Sans" w:cs="Noto Sans" w:ascii="Noto Sans" w:hAnsi="Noto Sans"/>
                <w:color w:val="000000"/>
              </w:rPr>
              <w:t>CCP</w:t>
            </w:r>
          </w:p>
          <w:p>
            <w:pPr>
              <w:pStyle w:val="Normal"/>
              <w:pBdr/>
              <w:spacing w:before="0" w:after="100"/>
              <w:jc w:val="left"/>
              <w:rPr>
                <w:rFonts w:ascii="Noto Sans" w:hAnsi="Noto Sans" w:eastAsia="Noto Sans" w:cs="Noto Sans"/>
                <w:color w:val="000000"/>
              </w:rPr>
            </w:pPr>
            <w:r>
              <w:rPr>
                <w:rFonts w:eastAsia="Noto Sans" w:cs="Noto Sans" w:ascii="Noto Sans" w:hAnsi="Noto Sans"/>
                <w:color w:val="000000"/>
              </w:rPr>
              <w:t>Equips docents i professorat</w:t>
            </w:r>
          </w:p>
        </w:tc>
      </w:tr>
    </w:tbl>
    <w:p>
      <w:pPr>
        <w:pStyle w:val="Normal"/>
        <w:pBdr/>
        <w:spacing w:before="0" w:after="100"/>
        <w:jc w:val="left"/>
        <w:rPr>
          <w:bCs/>
          <w:color w:val="000000"/>
        </w:rPr>
      </w:pPr>
      <w:r>
        <w:rPr>
          <w:rFonts w:eastAsia="Noto Sans" w:cs="Noto Sans" w:ascii="Noto Sans" w:hAnsi="Noto Sans"/>
          <w:b/>
          <w:color w:val="000000"/>
        </w:rPr>
        <w:t xml:space="preserve"> </w:t>
      </w:r>
      <w:r>
        <w:rPr>
          <w:rFonts w:eastAsia="Noto Sans" w:cs="Noto Sans" w:ascii="Noto Sans" w:hAnsi="Noto Sans"/>
          <w:bCs/>
          <w:i/>
          <w:color w:val="000000"/>
        </w:rPr>
        <w:t>* Valor afegit. Diferència entre la puntuació real obtinguda i la puntuació esperada segons l’ISEC del centre</w:t>
      </w:r>
    </w:p>
    <w:p>
      <w:pPr>
        <w:pStyle w:val="Normal"/>
        <w:pBdr/>
        <w:spacing w:before="0" w:after="100"/>
        <w:jc w:val="left"/>
        <w:rPr>
          <w:color w:val="000000"/>
        </w:rPr>
      </w:pPr>
      <w:r>
        <w:rPr>
          <w:rFonts w:eastAsia="Noto Sans" w:cs="Noto Sans" w:ascii="Noto Sans" w:hAnsi="Noto Sans"/>
          <w:i/>
          <w:color w:val="000000"/>
        </w:rPr>
        <w:t>* Descriptors de l’escala TRI. Descriptors de cada competència , classificats en 5 nivells, la competència es considera consolidada en assolir el nivell 3</w:t>
      </w:r>
      <w:r>
        <w:br w:type="page"/>
      </w:r>
    </w:p>
    <w:p>
      <w:pPr>
        <w:pStyle w:val="Normal"/>
        <w:pBdr/>
        <w:spacing w:before="0" w:after="100"/>
        <w:jc w:val="left"/>
        <w:rPr>
          <w:color w:val="000000"/>
        </w:rPr>
      </w:pPr>
      <w:r>
        <w:rPr>
          <w:rFonts w:eastAsia="Noto Sans" w:cs="Noto Sans" w:ascii="Noto Sans" w:hAnsi="Noto Sans"/>
          <w:b/>
          <w:color w:val="000000"/>
          <w:sz w:val="22"/>
          <w:szCs w:val="22"/>
        </w:rPr>
        <w:t>D. GRAELLES ORIENTATIVES PER A L</w:t>
      </w:r>
      <w:r>
        <w:rPr>
          <w:rFonts w:eastAsia="Noto Sans" w:cs="Noto Sans" w:ascii="Noto Sans" w:hAnsi="Noto Sans"/>
          <w:b/>
          <w:sz w:val="22"/>
          <w:szCs w:val="22"/>
        </w:rPr>
        <w:t xml:space="preserve">’ELABORACIÓ </w:t>
      </w:r>
      <w:r>
        <w:rPr>
          <w:rFonts w:eastAsia="Noto Sans" w:cs="Noto Sans" w:ascii="Noto Sans" w:hAnsi="Noto Sans"/>
          <w:b/>
          <w:color w:val="000000"/>
          <w:sz w:val="22"/>
          <w:szCs w:val="22"/>
        </w:rPr>
        <w:t xml:space="preserve"> DEL  PLA DE  MILLORA</w:t>
      </w:r>
    </w:p>
    <w:p>
      <w:pPr>
        <w:pStyle w:val="Normal"/>
        <w:rPr>
          <w:rFonts w:ascii="Noto Sans" w:hAnsi="Noto Sans" w:eastAsia="Noto Sans" w:cs="Noto Sans"/>
          <w:b/>
          <w:b/>
          <w:sz w:val="22"/>
          <w:szCs w:val="22"/>
        </w:rPr>
      </w:pPr>
      <w:r>
        <w:rPr>
          <w:rFonts w:eastAsia="Noto Sans" w:cs="Noto Sans" w:ascii="Noto Sans" w:hAnsi="Noto Sans"/>
          <w:b/>
          <w:sz w:val="22"/>
          <w:szCs w:val="22"/>
        </w:rPr>
        <w:t>D1. Identificació dels punts forts i els punts febles detectats sobre els  processos cognitius de cada competència avaluada</w:t>
      </w:r>
    </w:p>
    <w:p>
      <w:pPr>
        <w:pStyle w:val="Normal"/>
        <w:pBdr/>
        <w:rPr>
          <w:rFonts w:ascii="Noto Sans" w:hAnsi="Noto Sans" w:eastAsia="Noto Sans" w:cs="Noto Sans"/>
          <w:bCs/>
          <w:color w:val="000000"/>
        </w:rPr>
      </w:pPr>
      <w:r>
        <w:rPr>
          <w:rFonts w:eastAsia="Noto Sans" w:cs="Noto Sans" w:ascii="Noto Sans" w:hAnsi="Noto Sans"/>
          <w:bCs/>
          <w:color w:val="000000"/>
        </w:rPr>
      </w:r>
    </w:p>
    <w:tbl>
      <w:tblPr>
        <w:tblStyle w:val="a0"/>
        <w:tblW w:w="14621" w:type="dxa"/>
        <w:jc w:val="left"/>
        <w:tblInd w:w="-9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Look w:firstRow="0" w:noVBand="0" w:lastRow="0" w:firstColumn="0" w:lastColumn="0" w:noHBand="0" w:val="0000"/>
      </w:tblPr>
      <w:tblGrid>
        <w:gridCol w:w="7370"/>
        <w:gridCol w:w="7250"/>
      </w:tblGrid>
      <w:tr>
        <w:trPr>
          <w:trHeight w:val="279" w:hRule="atLeast"/>
        </w:trPr>
        <w:tc>
          <w:tcPr>
            <w:tcW w:w="14620" w:type="dxa"/>
            <w:gridSpan w:val="2"/>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CFE2F3" w:val="clear"/>
          </w:tcPr>
          <w:p>
            <w:pPr>
              <w:pStyle w:val="Normal"/>
              <w:widowControl w:val="false"/>
              <w:pBdr/>
              <w:spacing w:lineRule="auto" w:line="240" w:before="0" w:after="0"/>
              <w:jc w:val="left"/>
              <w:rPr>
                <w:rFonts w:ascii="Noto Sans" w:hAnsi="Noto Sans" w:eastAsia="Noto Sans" w:cs="Noto Sans"/>
                <w:bCs/>
                <w:color w:val="000000"/>
              </w:rPr>
            </w:pPr>
            <w:r>
              <w:rPr>
                <w:rFonts w:eastAsia="Noto Sans" w:cs="Noto Sans" w:ascii="Noto Sans" w:hAnsi="Noto Sans"/>
                <w:bCs/>
                <w:color w:val="000000"/>
              </w:rPr>
              <w:t>COMPETÈNCIA:</w:t>
            </w:r>
          </w:p>
        </w:tc>
      </w:tr>
      <w:tr>
        <w:trPr>
          <w:trHeight w:val="279" w:hRule="atLeast"/>
        </w:trPr>
        <w:tc>
          <w:tcPr>
            <w:tcW w:w="7370" w:type="dxa"/>
            <w:tcBorders>
              <w:top w:val="single" w:sz="8" w:space="0" w:color="000000"/>
              <w:left w:val="single" w:sz="8" w:space="0" w:color="000000"/>
              <w:bottom w:val="single" w:sz="8" w:space="0" w:color="000000"/>
              <w:insideH w:val="single" w:sz="8" w:space="0" w:color="000000"/>
            </w:tcBorders>
            <w:shd w:color="auto" w:fill="CFE2F3" w:val="clear"/>
          </w:tcPr>
          <w:p>
            <w:pPr>
              <w:pStyle w:val="Normal"/>
              <w:widowControl w:val="false"/>
              <w:pBdr/>
              <w:spacing w:lineRule="auto" w:line="240" w:before="0" w:after="0"/>
              <w:jc w:val="left"/>
              <w:rPr>
                <w:bCs/>
                <w:color w:val="000000"/>
              </w:rPr>
            </w:pPr>
            <w:r>
              <w:rPr>
                <w:rFonts w:eastAsia="Noto Sans" w:cs="Noto Sans" w:ascii="Noto Sans" w:hAnsi="Noto Sans"/>
                <w:bCs/>
                <w:color w:val="000000"/>
              </w:rPr>
              <w:t>Punts forts</w:t>
            </w:r>
          </w:p>
        </w:tc>
        <w:tc>
          <w:tcPr>
            <w:tcW w:w="7250"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CFE2F3" w:val="clear"/>
          </w:tcPr>
          <w:p>
            <w:pPr>
              <w:pStyle w:val="Normal"/>
              <w:widowControl w:val="false"/>
              <w:pBdr/>
              <w:spacing w:lineRule="auto" w:line="240" w:before="0" w:after="0"/>
              <w:jc w:val="left"/>
              <w:rPr>
                <w:rFonts w:ascii="Noto Sans" w:hAnsi="Noto Sans" w:eastAsia="Noto Sans" w:cs="Noto Sans"/>
                <w:bCs/>
                <w:color w:val="000000"/>
              </w:rPr>
            </w:pPr>
            <w:r>
              <w:rPr>
                <w:rFonts w:eastAsia="Noto Sans" w:cs="Noto Sans" w:ascii="Noto Sans" w:hAnsi="Noto Sans"/>
                <w:bCs/>
                <w:color w:val="000000"/>
              </w:rPr>
              <w:t>Punts febles</w:t>
            </w:r>
          </w:p>
        </w:tc>
      </w:tr>
      <w:tr>
        <w:trPr>
          <w:trHeight w:val="227" w:hRule="atLeast"/>
        </w:trPr>
        <w:tc>
          <w:tcPr>
            <w:tcW w:w="7370" w:type="dxa"/>
            <w:tcBorders>
              <w:top w:val="single" w:sz="8" w:space="0" w:color="000000"/>
              <w:left w:val="single" w:sz="8" w:space="0" w:color="000000"/>
              <w:bottom w:val="single" w:sz="8" w:space="0" w:color="000000"/>
              <w:insideH w:val="single" w:sz="8" w:space="0" w:color="000000"/>
            </w:tcBorders>
            <w:shd w:color="auto" w:fill="FFFFFF" w:val="clear"/>
          </w:tcPr>
          <w:p>
            <w:pPr>
              <w:pStyle w:val="Normal"/>
              <w:widowControl w:val="false"/>
              <w:pBdr/>
              <w:spacing w:lineRule="auto" w:line="240" w:before="0" w:after="0"/>
              <w:jc w:val="left"/>
              <w:rPr>
                <w:rFonts w:ascii="Noto Sans" w:hAnsi="Noto Sans" w:cs="Noto Sans"/>
                <w:color w:val="000000"/>
              </w:rPr>
            </w:pPr>
            <w:r>
              <w:rPr>
                <w:rFonts w:cs="Noto Sans" w:ascii="Noto Sans" w:hAnsi="Noto Sans"/>
                <w:color w:val="000000"/>
              </w:rPr>
              <w:t>1.</w:t>
            </w:r>
          </w:p>
        </w:tc>
        <w:tc>
          <w:tcPr>
            <w:tcW w:w="7250"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widowControl w:val="false"/>
              <w:pBdr/>
              <w:spacing w:lineRule="auto" w:line="240" w:before="0" w:after="0"/>
              <w:jc w:val="left"/>
              <w:rPr>
                <w:rFonts w:ascii="Noto Sans" w:hAnsi="Noto Sans" w:eastAsia="Noto Sans" w:cs="Noto Sans"/>
                <w:bCs/>
                <w:color w:val="000000"/>
              </w:rPr>
            </w:pPr>
            <w:r>
              <w:rPr>
                <w:rFonts w:eastAsia="Noto Sans" w:cs="Noto Sans" w:ascii="Noto Sans" w:hAnsi="Noto Sans"/>
                <w:bCs/>
                <w:color w:val="000000"/>
              </w:rPr>
              <w:t>1.</w:t>
            </w:r>
          </w:p>
        </w:tc>
      </w:tr>
      <w:tr>
        <w:trPr>
          <w:trHeight w:val="227" w:hRule="atLeast"/>
        </w:trPr>
        <w:tc>
          <w:tcPr>
            <w:tcW w:w="7370" w:type="dxa"/>
            <w:tcBorders>
              <w:top w:val="single" w:sz="8" w:space="0" w:color="000000"/>
              <w:left w:val="single" w:sz="8" w:space="0" w:color="000000"/>
              <w:bottom w:val="single" w:sz="8" w:space="0" w:color="000000"/>
              <w:insideH w:val="single" w:sz="8" w:space="0" w:color="000000"/>
            </w:tcBorders>
            <w:shd w:color="auto" w:fill="FFFFFF" w:val="clear"/>
          </w:tcPr>
          <w:p>
            <w:pPr>
              <w:pStyle w:val="Normal"/>
              <w:widowControl w:val="false"/>
              <w:pBdr/>
              <w:spacing w:lineRule="auto" w:line="240" w:before="0" w:after="0"/>
              <w:jc w:val="left"/>
              <w:rPr>
                <w:rFonts w:ascii="Noto Sans" w:hAnsi="Noto Sans" w:cs="Noto Sans"/>
                <w:color w:val="000000"/>
              </w:rPr>
            </w:pPr>
            <w:r>
              <w:rPr>
                <w:rFonts w:cs="Noto Sans" w:ascii="Noto Sans" w:hAnsi="Noto Sans"/>
                <w:color w:val="000000"/>
              </w:rPr>
              <w:t>2.</w:t>
            </w:r>
          </w:p>
        </w:tc>
        <w:tc>
          <w:tcPr>
            <w:tcW w:w="7250"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widowControl w:val="false"/>
              <w:pBdr/>
              <w:spacing w:lineRule="auto" w:line="240" w:before="0" w:after="0"/>
              <w:jc w:val="left"/>
              <w:rPr>
                <w:rFonts w:ascii="Noto Sans" w:hAnsi="Noto Sans" w:eastAsia="Noto Sans" w:cs="Noto Sans"/>
                <w:bCs/>
                <w:color w:val="000000"/>
              </w:rPr>
            </w:pPr>
            <w:r>
              <w:rPr>
                <w:rFonts w:eastAsia="Noto Sans" w:cs="Noto Sans" w:ascii="Noto Sans" w:hAnsi="Noto Sans"/>
                <w:bCs/>
                <w:color w:val="000000"/>
              </w:rPr>
              <w:t>2.</w:t>
            </w:r>
          </w:p>
        </w:tc>
      </w:tr>
      <w:tr>
        <w:trPr>
          <w:trHeight w:val="227" w:hRule="atLeast"/>
        </w:trPr>
        <w:tc>
          <w:tcPr>
            <w:tcW w:w="7370" w:type="dxa"/>
            <w:tcBorders>
              <w:top w:val="single" w:sz="8" w:space="0" w:color="000000"/>
              <w:left w:val="single" w:sz="8" w:space="0" w:color="000000"/>
              <w:bottom w:val="single" w:sz="8" w:space="0" w:color="000000"/>
              <w:insideH w:val="single" w:sz="8" w:space="0" w:color="000000"/>
            </w:tcBorders>
            <w:shd w:color="auto" w:fill="FFFFFF" w:val="clear"/>
          </w:tcPr>
          <w:p>
            <w:pPr>
              <w:pStyle w:val="Normal"/>
              <w:widowControl w:val="false"/>
              <w:pBdr/>
              <w:spacing w:lineRule="auto" w:line="240" w:before="0" w:after="0"/>
              <w:jc w:val="left"/>
              <w:rPr>
                <w:rFonts w:ascii="Noto Sans" w:hAnsi="Noto Sans" w:cs="Noto Sans"/>
                <w:color w:val="000000"/>
              </w:rPr>
            </w:pPr>
            <w:r>
              <w:rPr>
                <w:rFonts w:cs="Noto Sans" w:ascii="Noto Sans" w:hAnsi="Noto Sans"/>
                <w:color w:val="000000"/>
              </w:rPr>
              <w:t>...</w:t>
            </w:r>
          </w:p>
        </w:tc>
        <w:tc>
          <w:tcPr>
            <w:tcW w:w="7250"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widowControl w:val="false"/>
              <w:pBdr/>
              <w:spacing w:lineRule="auto" w:line="240" w:before="0" w:after="0"/>
              <w:jc w:val="left"/>
              <w:rPr>
                <w:rFonts w:ascii="Noto Sans" w:hAnsi="Noto Sans" w:eastAsia="Noto Sans" w:cs="Noto Sans"/>
                <w:bCs/>
                <w:color w:val="000000"/>
              </w:rPr>
            </w:pPr>
            <w:r>
              <w:rPr>
                <w:rFonts w:eastAsia="Noto Sans" w:cs="Noto Sans" w:ascii="Noto Sans" w:hAnsi="Noto Sans"/>
                <w:bCs/>
                <w:color w:val="000000"/>
              </w:rPr>
              <w:t>...</w:t>
            </w:r>
          </w:p>
        </w:tc>
      </w:tr>
    </w:tbl>
    <w:p>
      <w:pPr>
        <w:pStyle w:val="Normal"/>
        <w:pBdr/>
        <w:rPr>
          <w:rFonts w:ascii="Noto Sans" w:hAnsi="Noto Sans" w:eastAsia="Noto Sans" w:cs="Noto Sans"/>
          <w:i/>
          <w:i/>
          <w:color w:val="000000"/>
          <w:sz w:val="18"/>
          <w:szCs w:val="18"/>
        </w:rPr>
      </w:pPr>
      <w:r>
        <w:rPr>
          <w:rFonts w:eastAsia="Noto Sans" w:cs="Noto Sans" w:ascii="Noto Sans" w:hAnsi="Noto Sans"/>
          <w:i/>
          <w:color w:val="000000"/>
          <w:sz w:val="22"/>
          <w:szCs w:val="22"/>
        </w:rPr>
        <w:t xml:space="preserve">* </w:t>
      </w:r>
      <w:r>
        <w:rPr>
          <w:rFonts w:eastAsia="Noto Sans" w:cs="Noto Sans" w:ascii="Noto Sans" w:hAnsi="Noto Sans"/>
          <w:i/>
          <w:color w:val="000000"/>
          <w:sz w:val="18"/>
          <w:szCs w:val="18"/>
        </w:rPr>
        <w:t>Font  IAQSE . L’avaluació de diagnòstic.  Curs  La funció directiva 2012</w:t>
      </w:r>
    </w:p>
    <w:p>
      <w:pPr>
        <w:pStyle w:val="Normal"/>
        <w:pBdr/>
        <w:rPr>
          <w:rFonts w:ascii="Noto Sans" w:hAnsi="Noto Sans" w:eastAsia="Noto Sans" w:cs="Noto Sans"/>
          <w:b/>
          <w:b/>
          <w:color w:val="000000"/>
          <w:sz w:val="22"/>
          <w:szCs w:val="22"/>
        </w:rPr>
      </w:pPr>
      <w:r>
        <w:rPr>
          <w:rFonts w:eastAsia="Noto Sans" w:cs="Noto Sans" w:ascii="Noto Sans" w:hAnsi="Noto Sans"/>
          <w:b/>
          <w:color w:val="000000"/>
          <w:sz w:val="22"/>
          <w:szCs w:val="22"/>
        </w:rPr>
      </w:r>
    </w:p>
    <w:p>
      <w:pPr>
        <w:pStyle w:val="Normal"/>
        <w:pBdr/>
        <w:rPr>
          <w:rFonts w:ascii="Noto Sans" w:hAnsi="Noto Sans" w:eastAsia="Noto Sans" w:cs="Noto Sans"/>
          <w:b/>
          <w:b/>
          <w:color w:val="000000"/>
          <w:sz w:val="22"/>
          <w:szCs w:val="22"/>
        </w:rPr>
      </w:pPr>
      <w:r>
        <w:rPr>
          <w:rFonts w:eastAsia="Noto Sans" w:cs="Noto Sans" w:ascii="Noto Sans" w:hAnsi="Noto Sans"/>
          <w:b/>
          <w:color w:val="000000"/>
          <w:sz w:val="22"/>
          <w:szCs w:val="22"/>
        </w:rPr>
        <w:t>D.2  Interpretació dels resultats en el context del centre</w:t>
      </w:r>
    </w:p>
    <w:p>
      <w:pPr>
        <w:pStyle w:val="Normal"/>
        <w:numPr>
          <w:ilvl w:val="0"/>
          <w:numId w:val="1"/>
        </w:numPr>
        <w:pBdr/>
        <w:tabs>
          <w:tab w:val="clear" w:pos="720"/>
          <w:tab w:val="left" w:pos="0" w:leader="none"/>
        </w:tabs>
        <w:spacing w:before="0" w:after="0"/>
        <w:jc w:val="left"/>
        <w:rPr>
          <w:rFonts w:ascii="Noto Sans" w:hAnsi="Noto Sans" w:eastAsia="Noto Sans" w:cs="Noto Sans"/>
          <w:color w:val="000000"/>
          <w:sz w:val="22"/>
          <w:szCs w:val="22"/>
        </w:rPr>
      </w:pPr>
      <w:r>
        <w:rPr>
          <w:rFonts w:eastAsia="Noto Sans" w:cs="Noto Sans" w:ascii="Noto Sans" w:hAnsi="Noto Sans"/>
          <w:color w:val="000000"/>
          <w:sz w:val="22"/>
          <w:szCs w:val="22"/>
        </w:rPr>
        <w:t>Identificar els aspectes a consolidar i els  aspectes a millorar</w:t>
      </w:r>
      <w:r>
        <w:rPr>
          <w:rFonts w:eastAsia="Noto Sans" w:cs="Noto Sans" w:ascii="Noto Sans" w:hAnsi="Noto Sans"/>
          <w:sz w:val="22"/>
          <w:szCs w:val="22"/>
        </w:rPr>
        <w:t xml:space="preserve"> de cada competència</w:t>
      </w:r>
    </w:p>
    <w:p>
      <w:pPr>
        <w:pStyle w:val="Normal"/>
        <w:numPr>
          <w:ilvl w:val="0"/>
          <w:numId w:val="1"/>
        </w:numPr>
        <w:pBdr/>
        <w:tabs>
          <w:tab w:val="clear" w:pos="720"/>
          <w:tab w:val="left" w:pos="0" w:leader="none"/>
        </w:tabs>
        <w:jc w:val="left"/>
        <w:rPr>
          <w:rFonts w:ascii="Noto Sans" w:hAnsi="Noto Sans" w:eastAsia="Noto Sans" w:cs="Noto Sans"/>
          <w:b/>
          <w:b/>
          <w:color w:val="FF0000"/>
          <w:sz w:val="22"/>
          <w:szCs w:val="22"/>
        </w:rPr>
      </w:pPr>
      <w:r>
        <w:rPr>
          <w:rFonts w:eastAsia="Noto Sans" w:cs="Noto Sans" w:ascii="Noto Sans" w:hAnsi="Noto Sans"/>
          <w:sz w:val="22"/>
          <w:szCs w:val="22"/>
        </w:rPr>
        <w:t>Relacionar els resultats obtinguts  amb les possibles causes que els generen, els elements que hi intervenen  i les relacions que s’estableixen entre ells</w:t>
      </w:r>
    </w:p>
    <w:p>
      <w:pPr>
        <w:pStyle w:val="Normal"/>
        <w:pBdr/>
        <w:jc w:val="left"/>
        <w:rPr>
          <w:rFonts w:ascii="Noto Sans" w:hAnsi="Noto Sans" w:eastAsia="Noto Sans" w:cs="Noto Sans"/>
          <w:b/>
          <w:b/>
          <w:color w:val="000000"/>
          <w:sz w:val="22"/>
          <w:szCs w:val="22"/>
        </w:rPr>
      </w:pPr>
      <w:r>
        <w:rPr>
          <w:rFonts w:eastAsia="Noto Sans" w:cs="Noto Sans" w:ascii="Noto Sans" w:hAnsi="Noto Sans"/>
          <w:b/>
          <w:color w:val="000000"/>
          <w:sz w:val="22"/>
          <w:szCs w:val="22"/>
        </w:rPr>
        <w:t xml:space="preserve">D.3 Plantejament de línies d’actuació i concreció del pla de millora </w:t>
      </w:r>
      <w:r>
        <w:rPr>
          <w:rFonts w:eastAsia="Noto Sans" w:cs="Noto Sans" w:ascii="Noto Sans" w:hAnsi="Noto Sans"/>
          <w:b/>
          <w:sz w:val="22"/>
          <w:szCs w:val="22"/>
        </w:rPr>
        <w:t xml:space="preserve">de </w:t>
      </w:r>
      <w:r>
        <w:rPr>
          <w:rFonts w:eastAsia="Noto Sans" w:cs="Noto Sans" w:ascii="Noto Sans" w:hAnsi="Noto Sans"/>
          <w:b/>
          <w:color w:val="000000"/>
          <w:sz w:val="22"/>
          <w:szCs w:val="22"/>
        </w:rPr>
        <w:t>cada competència avaluada</w:t>
      </w:r>
    </w:p>
    <w:p>
      <w:pPr>
        <w:pStyle w:val="Normal"/>
        <w:pBdr/>
        <w:ind w:right="-979" w:hanging="0"/>
        <w:jc w:val="left"/>
        <w:rPr>
          <w:rFonts w:ascii="Noto Sans" w:hAnsi="Noto Sans" w:eastAsia="Noto Sans" w:cs="Noto Sans"/>
          <w:color w:val="000000"/>
          <w:sz w:val="22"/>
          <w:szCs w:val="22"/>
        </w:rPr>
      </w:pPr>
      <w:r>
        <w:rPr>
          <w:rFonts w:eastAsia="Noto Sans" w:cs="Noto Sans" w:ascii="Noto Sans" w:hAnsi="Noto Sans"/>
          <w:color w:val="000000"/>
          <w:sz w:val="22"/>
          <w:szCs w:val="22"/>
        </w:rPr>
        <w:t>Línies d’actuació que es proposin a partir dels resultats  obtinguts en cada competència i  mesures prioritàries</w:t>
      </w:r>
    </w:p>
    <w:tbl>
      <w:tblPr>
        <w:tblStyle w:val="a2"/>
        <w:tblW w:w="14621" w:type="dxa"/>
        <w:jc w:val="left"/>
        <w:tblInd w:w="-90" w:type="dxa"/>
        <w:tblBorders>
          <w:top w:val="single" w:sz="8" w:space="0" w:color="000000"/>
          <w:left w:val="single" w:sz="8" w:space="0" w:color="000000"/>
          <w:bottom w:val="single" w:sz="8" w:space="0" w:color="000000"/>
          <w:insideH w:val="single" w:sz="8" w:space="0" w:color="000000"/>
        </w:tblBorders>
        <w:tblCellMar>
          <w:top w:w="0" w:type="dxa"/>
          <w:left w:w="108" w:type="dxa"/>
          <w:bottom w:w="0" w:type="dxa"/>
          <w:right w:w="108" w:type="dxa"/>
        </w:tblCellMar>
        <w:tblLook w:firstRow="0" w:noVBand="0" w:lastRow="0" w:firstColumn="0" w:lastColumn="0" w:noHBand="0" w:val="0000"/>
      </w:tblPr>
      <w:tblGrid>
        <w:gridCol w:w="1922"/>
        <w:gridCol w:w="2652"/>
        <w:gridCol w:w="1663"/>
        <w:gridCol w:w="1985"/>
        <w:gridCol w:w="2126"/>
        <w:gridCol w:w="1701"/>
        <w:gridCol w:w="2571"/>
      </w:tblGrid>
      <w:tr>
        <w:trPr>
          <w:trHeight w:val="279" w:hRule="atLeast"/>
        </w:trPr>
        <w:tc>
          <w:tcPr>
            <w:tcW w:w="4574" w:type="dxa"/>
            <w:gridSpan w:val="2"/>
            <w:tcBorders>
              <w:top w:val="single" w:sz="8" w:space="0" w:color="000000"/>
              <w:left w:val="single" w:sz="8" w:space="0" w:color="000000"/>
              <w:bottom w:val="single" w:sz="8" w:space="0" w:color="000000"/>
              <w:insideH w:val="single" w:sz="8" w:space="0" w:color="000000"/>
            </w:tcBorders>
            <w:shd w:color="auto" w:fill="CFE2F3" w:val="clear"/>
          </w:tcPr>
          <w:p>
            <w:pPr>
              <w:pStyle w:val="Normal"/>
              <w:widowControl w:val="false"/>
              <w:pBdr/>
              <w:spacing w:lineRule="auto" w:line="240" w:before="0" w:after="0"/>
              <w:jc w:val="left"/>
              <w:rPr>
                <w:bCs/>
                <w:color w:val="000000"/>
              </w:rPr>
            </w:pPr>
            <w:r>
              <w:rPr>
                <w:rFonts w:eastAsia="Noto Sans" w:cs="Noto Sans" w:ascii="Noto Sans" w:hAnsi="Noto Sans"/>
                <w:bCs/>
                <w:color w:val="000000"/>
              </w:rPr>
              <w:t>COMPETÈNCIA:</w:t>
            </w:r>
          </w:p>
        </w:tc>
        <w:tc>
          <w:tcPr>
            <w:tcW w:w="10046" w:type="dxa"/>
            <w:gridSpan w:val="5"/>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CFE2F3" w:val="clear"/>
          </w:tcPr>
          <w:p>
            <w:pPr>
              <w:pStyle w:val="Normal"/>
              <w:widowControl w:val="false"/>
              <w:pBdr/>
              <w:spacing w:lineRule="auto" w:line="240" w:before="0" w:after="0"/>
              <w:jc w:val="left"/>
              <w:rPr>
                <w:rFonts w:ascii="Noto Sans" w:hAnsi="Noto Sans" w:eastAsia="Noto Sans" w:cs="Noto Sans"/>
                <w:bCs/>
                <w:color w:val="000000"/>
              </w:rPr>
            </w:pPr>
            <w:r>
              <w:rPr>
                <w:rFonts w:eastAsia="Noto Sans" w:cs="Noto Sans" w:ascii="Noto Sans" w:hAnsi="Noto Sans"/>
                <w:bCs/>
                <w:color w:val="000000"/>
              </w:rPr>
              <w:t>PUNT FEBLE:</w:t>
            </w:r>
          </w:p>
        </w:tc>
      </w:tr>
      <w:tr>
        <w:trPr>
          <w:trHeight w:val="170" w:hRule="atLeast"/>
        </w:trPr>
        <w:tc>
          <w:tcPr>
            <w:tcW w:w="4574" w:type="dxa"/>
            <w:gridSpan w:val="2"/>
            <w:tcBorders>
              <w:top w:val="single" w:sz="8" w:space="0" w:color="000000"/>
              <w:left w:val="single" w:sz="8" w:space="0" w:color="000000"/>
              <w:bottom w:val="single" w:sz="8" w:space="0" w:color="000000"/>
              <w:insideH w:val="single" w:sz="8" w:space="0" w:color="000000"/>
            </w:tcBorders>
            <w:shd w:color="auto" w:fill="CFE2F3" w:val="clear"/>
          </w:tcPr>
          <w:p>
            <w:pPr>
              <w:pStyle w:val="Normal"/>
              <w:widowControl w:val="false"/>
              <w:pBdr/>
              <w:spacing w:lineRule="auto" w:line="240" w:before="0" w:after="0"/>
              <w:jc w:val="left"/>
              <w:rPr>
                <w:rFonts w:ascii="Noto Sans" w:hAnsi="Noto Sans" w:eastAsia="Noto Sans" w:cs="Noto Sans"/>
                <w:color w:val="000000"/>
              </w:rPr>
            </w:pPr>
            <w:r>
              <w:rPr>
                <w:rFonts w:eastAsia="Noto Sans" w:cs="Noto Sans" w:ascii="Noto Sans" w:hAnsi="Noto Sans"/>
                <w:color w:val="000000"/>
              </w:rPr>
              <w:t>Descripció del problema</w:t>
            </w:r>
          </w:p>
        </w:tc>
        <w:tc>
          <w:tcPr>
            <w:tcW w:w="10046" w:type="dxa"/>
            <w:gridSpan w:val="5"/>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widowControl w:val="false"/>
              <w:pBdr/>
              <w:spacing w:lineRule="auto" w:line="240" w:before="0" w:after="0"/>
              <w:jc w:val="left"/>
              <w:rPr>
                <w:rFonts w:ascii="Noto Sans" w:hAnsi="Noto Sans" w:eastAsia="Noto Sans" w:cs="Noto Sans"/>
                <w:b/>
                <w:b/>
                <w:color w:val="000000"/>
                <w:sz w:val="22"/>
                <w:szCs w:val="22"/>
              </w:rPr>
            </w:pPr>
            <w:r>
              <w:rPr>
                <w:rFonts w:eastAsia="Noto Sans" w:cs="Noto Sans" w:ascii="Noto Sans" w:hAnsi="Noto Sans"/>
                <w:b/>
                <w:color w:val="000000"/>
                <w:sz w:val="22"/>
                <w:szCs w:val="22"/>
              </w:rPr>
            </w:r>
          </w:p>
        </w:tc>
      </w:tr>
      <w:tr>
        <w:trPr>
          <w:trHeight w:val="170" w:hRule="atLeast"/>
        </w:trPr>
        <w:tc>
          <w:tcPr>
            <w:tcW w:w="4574" w:type="dxa"/>
            <w:gridSpan w:val="2"/>
            <w:tcBorders>
              <w:top w:val="single" w:sz="8" w:space="0" w:color="000000"/>
              <w:left w:val="single" w:sz="8" w:space="0" w:color="000000"/>
              <w:bottom w:val="single" w:sz="8" w:space="0" w:color="000000"/>
              <w:insideH w:val="single" w:sz="8" w:space="0" w:color="000000"/>
            </w:tcBorders>
            <w:shd w:color="auto" w:fill="CFE2F3" w:val="clear"/>
          </w:tcPr>
          <w:p>
            <w:pPr>
              <w:pStyle w:val="Normal"/>
              <w:widowControl w:val="false"/>
              <w:pBdr/>
              <w:spacing w:lineRule="auto" w:line="240" w:before="0" w:after="0"/>
              <w:jc w:val="left"/>
              <w:rPr>
                <w:rFonts w:ascii="Noto Sans" w:hAnsi="Noto Sans" w:eastAsia="Noto Sans" w:cs="Noto Sans"/>
                <w:color w:val="000000"/>
              </w:rPr>
            </w:pPr>
            <w:r>
              <w:rPr>
                <w:rFonts w:eastAsia="Noto Sans" w:cs="Noto Sans" w:ascii="Noto Sans" w:hAnsi="Noto Sans"/>
                <w:color w:val="000000"/>
              </w:rPr>
              <w:t xml:space="preserve">Possibles causes que l’ocasionen </w:t>
            </w:r>
          </w:p>
        </w:tc>
        <w:tc>
          <w:tcPr>
            <w:tcW w:w="10046" w:type="dxa"/>
            <w:gridSpan w:val="5"/>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widowControl w:val="false"/>
              <w:pBdr/>
              <w:spacing w:lineRule="auto" w:line="240" w:before="0" w:after="0"/>
              <w:jc w:val="left"/>
              <w:rPr>
                <w:rFonts w:ascii="Noto Sans" w:hAnsi="Noto Sans" w:eastAsia="Noto Sans" w:cs="Noto Sans"/>
                <w:b/>
                <w:b/>
                <w:color w:val="000000"/>
                <w:sz w:val="22"/>
                <w:szCs w:val="22"/>
              </w:rPr>
            </w:pPr>
            <w:r>
              <w:rPr>
                <w:rFonts w:eastAsia="Noto Sans" w:cs="Noto Sans" w:ascii="Noto Sans" w:hAnsi="Noto Sans"/>
                <w:b/>
                <w:color w:val="000000"/>
                <w:sz w:val="22"/>
                <w:szCs w:val="22"/>
              </w:rPr>
            </w:r>
          </w:p>
        </w:tc>
      </w:tr>
      <w:tr>
        <w:trPr>
          <w:trHeight w:val="170" w:hRule="atLeast"/>
        </w:trPr>
        <w:tc>
          <w:tcPr>
            <w:tcW w:w="4574" w:type="dxa"/>
            <w:gridSpan w:val="2"/>
            <w:tcBorders>
              <w:top w:val="single" w:sz="8" w:space="0" w:color="000000"/>
              <w:left w:val="single" w:sz="8" w:space="0" w:color="000000"/>
              <w:bottom w:val="single" w:sz="8" w:space="0" w:color="000000"/>
              <w:insideH w:val="single" w:sz="8" w:space="0" w:color="000000"/>
            </w:tcBorders>
            <w:shd w:color="auto" w:fill="CFE2F3" w:val="clear"/>
          </w:tcPr>
          <w:p>
            <w:pPr>
              <w:pStyle w:val="Normal"/>
              <w:widowControl w:val="false"/>
              <w:pBdr/>
              <w:spacing w:lineRule="auto" w:line="240" w:before="0" w:after="0"/>
              <w:jc w:val="left"/>
              <w:rPr>
                <w:rFonts w:ascii="Noto Sans" w:hAnsi="Noto Sans" w:eastAsia="Noto Sans" w:cs="Noto Sans"/>
                <w:color w:val="000000"/>
              </w:rPr>
            </w:pPr>
            <w:r>
              <w:rPr>
                <w:rFonts w:eastAsia="Noto Sans" w:cs="Noto Sans" w:ascii="Noto Sans" w:hAnsi="Noto Sans"/>
                <w:color w:val="000000"/>
              </w:rPr>
              <w:t>Objectius que es persegueixen</w:t>
            </w:r>
          </w:p>
        </w:tc>
        <w:tc>
          <w:tcPr>
            <w:tcW w:w="10046" w:type="dxa"/>
            <w:gridSpan w:val="5"/>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widowControl w:val="false"/>
              <w:pBdr/>
              <w:spacing w:lineRule="auto" w:line="240" w:before="0" w:after="0"/>
              <w:jc w:val="left"/>
              <w:rPr>
                <w:rFonts w:ascii="Noto Sans" w:hAnsi="Noto Sans" w:eastAsia="Noto Sans" w:cs="Noto Sans"/>
                <w:b/>
                <w:b/>
                <w:color w:val="000000"/>
                <w:sz w:val="22"/>
                <w:szCs w:val="22"/>
              </w:rPr>
            </w:pPr>
            <w:r>
              <w:rPr>
                <w:rFonts w:eastAsia="Noto Sans" w:cs="Noto Sans" w:ascii="Noto Sans" w:hAnsi="Noto Sans"/>
                <w:b/>
                <w:color w:val="000000"/>
                <w:sz w:val="22"/>
                <w:szCs w:val="22"/>
              </w:rPr>
            </w:r>
          </w:p>
        </w:tc>
      </w:tr>
      <w:tr>
        <w:trPr>
          <w:trHeight w:val="170" w:hRule="atLeast"/>
        </w:trPr>
        <w:tc>
          <w:tcPr>
            <w:tcW w:w="4574" w:type="dxa"/>
            <w:gridSpan w:val="2"/>
            <w:tcBorders>
              <w:top w:val="single" w:sz="8" w:space="0" w:color="000000"/>
              <w:left w:val="single" w:sz="8" w:space="0" w:color="000000"/>
              <w:bottom w:val="single" w:sz="8" w:space="0" w:color="000000"/>
              <w:insideH w:val="single" w:sz="8" w:space="0" w:color="000000"/>
            </w:tcBorders>
            <w:shd w:color="auto" w:fill="CFE2F3" w:val="clear"/>
          </w:tcPr>
          <w:p>
            <w:pPr>
              <w:pStyle w:val="Normal"/>
              <w:widowControl w:val="false"/>
              <w:pBdr/>
              <w:spacing w:lineRule="auto" w:line="240" w:before="0" w:after="0"/>
              <w:jc w:val="left"/>
              <w:rPr>
                <w:rFonts w:ascii="Noto Sans" w:hAnsi="Noto Sans" w:eastAsia="Noto Sans" w:cs="Noto Sans"/>
                <w:color w:val="000000"/>
              </w:rPr>
            </w:pPr>
            <w:r>
              <w:rPr>
                <w:rFonts w:eastAsia="Noto Sans" w:cs="Noto Sans" w:ascii="Noto Sans" w:hAnsi="Noto Sans"/>
              </w:rPr>
              <w:t xml:space="preserve">Línies d’actuació </w:t>
            </w:r>
          </w:p>
        </w:tc>
        <w:tc>
          <w:tcPr>
            <w:tcW w:w="10046" w:type="dxa"/>
            <w:gridSpan w:val="5"/>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widowControl w:val="false"/>
              <w:pBdr/>
              <w:spacing w:lineRule="auto" w:line="240" w:before="0" w:after="0"/>
              <w:jc w:val="left"/>
              <w:rPr>
                <w:color w:val="000000"/>
              </w:rPr>
            </w:pPr>
            <w:r>
              <w:rPr>
                <w:color w:val="000000"/>
              </w:rPr>
            </w:r>
          </w:p>
        </w:tc>
      </w:tr>
      <w:tr>
        <w:trPr>
          <w:trHeight w:val="170" w:hRule="atLeast"/>
        </w:trPr>
        <w:tc>
          <w:tcPr>
            <w:tcW w:w="4574" w:type="dxa"/>
            <w:gridSpan w:val="2"/>
            <w:tcBorders>
              <w:top w:val="single" w:sz="8" w:space="0" w:color="000000"/>
              <w:left w:val="single" w:sz="8" w:space="0" w:color="000000"/>
              <w:bottom w:val="single" w:sz="8" w:space="0" w:color="000000"/>
              <w:insideH w:val="single" w:sz="8" w:space="0" w:color="000000"/>
            </w:tcBorders>
            <w:shd w:color="auto" w:fill="CFE2F3" w:val="clear"/>
          </w:tcPr>
          <w:p>
            <w:pPr>
              <w:pStyle w:val="Normal"/>
              <w:widowControl w:val="false"/>
              <w:pBdr/>
              <w:spacing w:lineRule="auto" w:line="240" w:before="0" w:after="0"/>
              <w:jc w:val="left"/>
              <w:rPr>
                <w:rFonts w:ascii="Noto Sans" w:hAnsi="Noto Sans" w:eastAsia="Noto Sans" w:cs="Noto Sans"/>
                <w:b/>
                <w:b/>
                <w:strike/>
              </w:rPr>
            </w:pPr>
            <w:r>
              <w:rPr>
                <w:rFonts w:eastAsia="Noto Sans" w:cs="Noto Sans" w:ascii="Noto Sans" w:hAnsi="Noto Sans"/>
              </w:rPr>
              <w:t>Indicadors de seguiment i d’assoliment</w:t>
            </w:r>
          </w:p>
        </w:tc>
        <w:tc>
          <w:tcPr>
            <w:tcW w:w="10046" w:type="dxa"/>
            <w:gridSpan w:val="5"/>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widowControl w:val="false"/>
              <w:pBdr/>
              <w:spacing w:lineRule="auto" w:line="240" w:before="0" w:after="0"/>
              <w:jc w:val="left"/>
              <w:rPr>
                <w:color w:val="000000"/>
              </w:rPr>
            </w:pPr>
            <w:r>
              <w:rPr>
                <w:color w:val="000000"/>
              </w:rPr>
            </w:r>
          </w:p>
        </w:tc>
      </w:tr>
      <w:tr>
        <w:trPr>
          <w:trHeight w:val="227" w:hRule="atLeast"/>
        </w:trPr>
        <w:tc>
          <w:tcPr>
            <w:tcW w:w="1922" w:type="dxa"/>
            <w:tcBorders>
              <w:top w:val="single" w:sz="8" w:space="0" w:color="000000"/>
              <w:left w:val="single" w:sz="8" w:space="0" w:color="000000"/>
              <w:bottom w:val="single" w:sz="8" w:space="0" w:color="000000"/>
              <w:insideH w:val="single" w:sz="8" w:space="0" w:color="000000"/>
            </w:tcBorders>
            <w:shd w:color="auto" w:fill="CFE2F3" w:val="clear"/>
            <w:vAlign w:val="center"/>
          </w:tcPr>
          <w:p>
            <w:pPr>
              <w:pStyle w:val="Normal"/>
              <w:widowControl w:val="false"/>
              <w:pBdr/>
              <w:spacing w:lineRule="auto" w:line="240" w:before="0" w:after="0"/>
              <w:jc w:val="center"/>
              <w:rPr>
                <w:color w:val="000000"/>
              </w:rPr>
            </w:pPr>
            <w:r>
              <w:rPr>
                <w:rFonts w:eastAsia="Noto Sans" w:cs="Noto Sans" w:ascii="Noto Sans" w:hAnsi="Noto Sans"/>
              </w:rPr>
              <w:t>Línies d’Actuació</w:t>
            </w:r>
          </w:p>
        </w:tc>
        <w:tc>
          <w:tcPr>
            <w:tcW w:w="2652" w:type="dxa"/>
            <w:tcBorders>
              <w:top w:val="single" w:sz="8" w:space="0" w:color="000000"/>
              <w:left w:val="single" w:sz="8" w:space="0" w:color="000000"/>
              <w:bottom w:val="single" w:sz="8" w:space="0" w:color="000000"/>
              <w:insideH w:val="single" w:sz="8" w:space="0" w:color="000000"/>
            </w:tcBorders>
            <w:shd w:color="auto" w:fill="CFE2F3" w:val="clear"/>
            <w:vAlign w:val="center"/>
          </w:tcPr>
          <w:p>
            <w:pPr>
              <w:pStyle w:val="Normal"/>
              <w:widowControl w:val="false"/>
              <w:pBdr/>
              <w:spacing w:lineRule="auto" w:line="240" w:before="0" w:after="0"/>
              <w:jc w:val="center"/>
              <w:rPr>
                <w:rFonts w:ascii="Noto Sans" w:hAnsi="Noto Sans" w:eastAsia="Noto Sans" w:cs="Noto Sans"/>
                <w:color w:val="000000"/>
              </w:rPr>
            </w:pPr>
            <w:r>
              <w:rPr>
                <w:rFonts w:eastAsia="Noto Sans" w:cs="Noto Sans" w:ascii="Noto Sans" w:hAnsi="Noto Sans"/>
                <w:color w:val="000000"/>
              </w:rPr>
              <w:t>Activitat</w:t>
            </w:r>
          </w:p>
        </w:tc>
        <w:tc>
          <w:tcPr>
            <w:tcW w:w="1663" w:type="dxa"/>
            <w:tcBorders>
              <w:top w:val="single" w:sz="8" w:space="0" w:color="000000"/>
              <w:left w:val="single" w:sz="8" w:space="0" w:color="000000"/>
              <w:bottom w:val="single" w:sz="8" w:space="0" w:color="000000"/>
              <w:insideH w:val="single" w:sz="8" w:space="0" w:color="000000"/>
            </w:tcBorders>
            <w:shd w:color="auto" w:fill="CFE2F3" w:val="clear"/>
            <w:vAlign w:val="center"/>
          </w:tcPr>
          <w:p>
            <w:pPr>
              <w:pStyle w:val="Normal"/>
              <w:widowControl w:val="false"/>
              <w:pBdr/>
              <w:spacing w:lineRule="auto" w:line="240" w:before="0" w:after="0"/>
              <w:jc w:val="center"/>
              <w:rPr>
                <w:rFonts w:ascii="Noto Sans" w:hAnsi="Noto Sans" w:eastAsia="Noto Sans" w:cs="Noto Sans"/>
                <w:color w:val="000000"/>
              </w:rPr>
            </w:pPr>
            <w:r>
              <w:rPr>
                <w:rFonts w:eastAsia="Noto Sans" w:cs="Noto Sans" w:ascii="Noto Sans" w:hAnsi="Noto Sans"/>
                <w:color w:val="000000"/>
              </w:rPr>
              <w:t>Temporització</w:t>
            </w:r>
          </w:p>
        </w:tc>
        <w:tc>
          <w:tcPr>
            <w:tcW w:w="1985" w:type="dxa"/>
            <w:tcBorders>
              <w:top w:val="single" w:sz="8" w:space="0" w:color="000000"/>
              <w:left w:val="single" w:sz="8" w:space="0" w:color="000000"/>
              <w:bottom w:val="single" w:sz="8" w:space="0" w:color="000000"/>
              <w:insideH w:val="single" w:sz="8" w:space="0" w:color="000000"/>
            </w:tcBorders>
            <w:shd w:color="auto" w:fill="CFE2F3" w:val="clear"/>
            <w:vAlign w:val="center"/>
          </w:tcPr>
          <w:p>
            <w:pPr>
              <w:pStyle w:val="Normal"/>
              <w:widowControl w:val="false"/>
              <w:pBdr/>
              <w:spacing w:lineRule="auto" w:line="240" w:before="0" w:after="0"/>
              <w:jc w:val="center"/>
              <w:rPr>
                <w:rFonts w:ascii="Noto Sans" w:hAnsi="Noto Sans" w:eastAsia="Noto Sans" w:cs="Noto Sans"/>
                <w:color w:val="000000"/>
              </w:rPr>
            </w:pPr>
            <w:r>
              <w:rPr>
                <w:rFonts w:eastAsia="Noto Sans" w:cs="Noto Sans" w:ascii="Noto Sans" w:hAnsi="Noto Sans"/>
                <w:color w:val="000000"/>
              </w:rPr>
              <w:t>Responsables</w:t>
            </w:r>
          </w:p>
        </w:tc>
        <w:tc>
          <w:tcPr>
            <w:tcW w:w="2126" w:type="dxa"/>
            <w:tcBorders>
              <w:top w:val="single" w:sz="8" w:space="0" w:color="000000"/>
              <w:left w:val="single" w:sz="8" w:space="0" w:color="000000"/>
              <w:bottom w:val="single" w:sz="8" w:space="0" w:color="000000"/>
              <w:insideH w:val="single" w:sz="8" w:space="0" w:color="000000"/>
            </w:tcBorders>
            <w:shd w:color="auto" w:fill="CFE2F3" w:val="clear"/>
            <w:vAlign w:val="center"/>
          </w:tcPr>
          <w:p>
            <w:pPr>
              <w:pStyle w:val="Normal"/>
              <w:widowControl w:val="false"/>
              <w:pBdr/>
              <w:spacing w:lineRule="auto" w:line="240" w:before="0" w:after="0"/>
              <w:jc w:val="center"/>
              <w:rPr>
                <w:rFonts w:ascii="Noto Sans" w:hAnsi="Noto Sans" w:eastAsia="Noto Sans" w:cs="Noto Sans"/>
                <w:color w:val="000000"/>
              </w:rPr>
            </w:pPr>
            <w:r>
              <w:rPr>
                <w:rFonts w:eastAsia="Noto Sans" w:cs="Noto Sans" w:ascii="Noto Sans" w:hAnsi="Noto Sans"/>
                <w:color w:val="000000"/>
              </w:rPr>
              <w:t>Matèries implicades</w:t>
            </w:r>
          </w:p>
        </w:tc>
        <w:tc>
          <w:tcPr>
            <w:tcW w:w="1701" w:type="dxa"/>
            <w:tcBorders>
              <w:top w:val="single" w:sz="8" w:space="0" w:color="000000"/>
              <w:left w:val="single" w:sz="8" w:space="0" w:color="000000"/>
              <w:bottom w:val="single" w:sz="8" w:space="0" w:color="000000"/>
              <w:insideH w:val="single" w:sz="8" w:space="0" w:color="000000"/>
            </w:tcBorders>
            <w:shd w:color="auto" w:fill="CFE2F3" w:val="clear"/>
            <w:vAlign w:val="center"/>
          </w:tcPr>
          <w:p>
            <w:pPr>
              <w:pStyle w:val="Normal"/>
              <w:widowControl w:val="false"/>
              <w:pBdr/>
              <w:spacing w:lineRule="auto" w:line="240" w:before="0" w:after="0"/>
              <w:jc w:val="center"/>
              <w:rPr>
                <w:rFonts w:ascii="Noto Sans" w:hAnsi="Noto Sans" w:eastAsia="Noto Sans" w:cs="Noto Sans"/>
                <w:color w:val="000000"/>
              </w:rPr>
            </w:pPr>
            <w:r>
              <w:rPr>
                <w:rFonts w:eastAsia="Noto Sans" w:cs="Noto Sans" w:ascii="Noto Sans" w:hAnsi="Noto Sans"/>
                <w:color w:val="000000"/>
              </w:rPr>
              <w:t>Seguiment</w:t>
            </w:r>
          </w:p>
        </w:tc>
        <w:tc>
          <w:tcPr>
            <w:tcW w:w="2571"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CFE2F3" w:val="clear"/>
            <w:vAlign w:val="center"/>
          </w:tcPr>
          <w:p>
            <w:pPr>
              <w:pStyle w:val="Normal"/>
              <w:widowControl w:val="false"/>
              <w:pBdr/>
              <w:spacing w:lineRule="auto" w:line="240" w:before="0" w:after="0"/>
              <w:jc w:val="center"/>
              <w:rPr>
                <w:rFonts w:ascii="Noto Sans" w:hAnsi="Noto Sans" w:eastAsia="Noto Sans" w:cs="Noto Sans"/>
                <w:color w:val="000000"/>
              </w:rPr>
            </w:pPr>
            <w:r>
              <w:rPr>
                <w:rFonts w:eastAsia="Noto Sans" w:cs="Noto Sans" w:ascii="Noto Sans" w:hAnsi="Noto Sans"/>
                <w:color w:val="000000"/>
              </w:rPr>
              <w:t>Avaluació</w:t>
            </w:r>
          </w:p>
        </w:tc>
      </w:tr>
      <w:tr>
        <w:trPr>
          <w:trHeight w:val="187" w:hRule="atLeast"/>
        </w:trPr>
        <w:tc>
          <w:tcPr>
            <w:tcW w:w="1922" w:type="dxa"/>
            <w:vMerge w:val="restart"/>
            <w:tcBorders>
              <w:top w:val="single" w:sz="8" w:space="0" w:color="000000"/>
              <w:left w:val="single" w:sz="8" w:space="0" w:color="000000"/>
              <w:bottom w:val="single" w:sz="8" w:space="0" w:color="000000"/>
              <w:insideH w:val="single" w:sz="8" w:space="0" w:color="000000"/>
            </w:tcBorders>
            <w:shd w:fill="auto" w:val="clear"/>
            <w:vAlign w:val="center"/>
          </w:tcPr>
          <w:p>
            <w:pPr>
              <w:pStyle w:val="Normal"/>
              <w:widowControl w:val="false"/>
              <w:pBdr/>
              <w:spacing w:lineRule="auto" w:line="240" w:before="0" w:after="0"/>
              <w:jc w:val="left"/>
              <w:rPr>
                <w:rFonts w:ascii="Noto Sans" w:hAnsi="Noto Sans" w:eastAsia="Noto Sans" w:cs="Noto Sans"/>
                <w:bCs/>
                <w:color w:val="000000"/>
              </w:rPr>
            </w:pPr>
            <w:r>
              <w:rPr>
                <w:rFonts w:eastAsia="Noto Sans" w:cs="Noto Sans" w:ascii="Noto Sans" w:hAnsi="Noto Sans"/>
                <w:bCs/>
                <w:color w:val="000000"/>
              </w:rPr>
              <w:t>1.</w:t>
            </w:r>
          </w:p>
        </w:tc>
        <w:tc>
          <w:tcPr>
            <w:tcW w:w="2652" w:type="dxa"/>
            <w:tcBorders>
              <w:top w:val="single" w:sz="8" w:space="0" w:color="000000"/>
              <w:left w:val="single" w:sz="8" w:space="0" w:color="000000"/>
              <w:bottom w:val="single" w:sz="8" w:space="0" w:color="000000"/>
              <w:insideH w:val="single" w:sz="8" w:space="0" w:color="000000"/>
            </w:tcBorders>
            <w:shd w:fill="auto" w:val="clear"/>
            <w:vAlign w:val="center"/>
          </w:tcPr>
          <w:p>
            <w:pPr>
              <w:pStyle w:val="Normal"/>
              <w:widowControl w:val="false"/>
              <w:pBdr/>
              <w:spacing w:lineRule="auto" w:line="240" w:before="0" w:after="0"/>
              <w:jc w:val="left"/>
              <w:rPr>
                <w:rFonts w:ascii="Noto Sans" w:hAnsi="Noto Sans" w:eastAsia="Noto Sans" w:cs="Noto Sans"/>
                <w:bCs/>
                <w:color w:val="000000"/>
              </w:rPr>
            </w:pPr>
            <w:r>
              <w:rPr>
                <w:rFonts w:eastAsia="Noto Sans" w:cs="Noto Sans" w:ascii="Noto Sans" w:hAnsi="Noto Sans"/>
                <w:bCs/>
                <w:color w:val="000000"/>
              </w:rPr>
              <w:t>1.1</w:t>
            </w:r>
          </w:p>
        </w:tc>
        <w:tc>
          <w:tcPr>
            <w:tcW w:w="1663" w:type="dxa"/>
            <w:tcBorders>
              <w:top w:val="single" w:sz="8" w:space="0" w:color="000000"/>
              <w:left w:val="single" w:sz="8" w:space="0" w:color="000000"/>
              <w:bottom w:val="single" w:sz="8" w:space="0" w:color="000000"/>
              <w:insideH w:val="single" w:sz="8" w:space="0" w:color="000000"/>
            </w:tcBorders>
            <w:shd w:fill="auto" w:val="clear"/>
            <w:vAlign w:val="center"/>
          </w:tcPr>
          <w:p>
            <w:pPr>
              <w:pStyle w:val="Normal"/>
              <w:widowControl w:val="false"/>
              <w:pBdr/>
              <w:spacing w:lineRule="auto" w:line="240" w:before="0" w:after="0"/>
              <w:jc w:val="left"/>
              <w:rPr>
                <w:rFonts w:ascii="Noto Sans" w:hAnsi="Noto Sans" w:eastAsia="Noto Sans" w:cs="Noto Sans"/>
                <w:b/>
                <w:b/>
                <w:color w:val="000000"/>
                <w:sz w:val="22"/>
                <w:szCs w:val="22"/>
              </w:rPr>
            </w:pPr>
            <w:r>
              <w:rPr>
                <w:rFonts w:eastAsia="Noto Sans" w:cs="Noto Sans" w:ascii="Noto Sans" w:hAnsi="Noto Sans"/>
                <w:b/>
                <w:color w:val="000000"/>
                <w:sz w:val="22"/>
                <w:szCs w:val="22"/>
              </w:rPr>
            </w:r>
          </w:p>
        </w:tc>
        <w:tc>
          <w:tcPr>
            <w:tcW w:w="1985" w:type="dxa"/>
            <w:tcBorders>
              <w:top w:val="single" w:sz="8" w:space="0" w:color="000000"/>
              <w:left w:val="single" w:sz="8" w:space="0" w:color="000000"/>
              <w:bottom w:val="single" w:sz="8" w:space="0" w:color="000000"/>
              <w:insideH w:val="single" w:sz="8" w:space="0" w:color="000000"/>
            </w:tcBorders>
            <w:shd w:fill="auto" w:val="clear"/>
            <w:vAlign w:val="center"/>
          </w:tcPr>
          <w:p>
            <w:pPr>
              <w:pStyle w:val="Normal"/>
              <w:widowControl w:val="false"/>
              <w:pBdr/>
              <w:spacing w:lineRule="auto" w:line="240" w:before="0" w:after="0"/>
              <w:jc w:val="left"/>
              <w:rPr>
                <w:rFonts w:ascii="Noto Sans" w:hAnsi="Noto Sans" w:eastAsia="Noto Sans" w:cs="Noto Sans"/>
                <w:b/>
                <w:b/>
                <w:color w:val="000000"/>
                <w:sz w:val="22"/>
                <w:szCs w:val="22"/>
              </w:rPr>
            </w:pPr>
            <w:r>
              <w:rPr>
                <w:rFonts w:eastAsia="Noto Sans" w:cs="Noto Sans" w:ascii="Noto Sans" w:hAnsi="Noto Sans"/>
                <w:b/>
                <w:color w:val="000000"/>
                <w:sz w:val="22"/>
                <w:szCs w:val="22"/>
              </w:rPr>
            </w:r>
          </w:p>
        </w:tc>
        <w:tc>
          <w:tcPr>
            <w:tcW w:w="2126" w:type="dxa"/>
            <w:tcBorders>
              <w:top w:val="single" w:sz="8" w:space="0" w:color="000000"/>
              <w:left w:val="single" w:sz="8" w:space="0" w:color="000000"/>
              <w:bottom w:val="single" w:sz="8" w:space="0" w:color="000000"/>
              <w:insideH w:val="single" w:sz="8" w:space="0" w:color="000000"/>
            </w:tcBorders>
            <w:shd w:fill="auto" w:val="clear"/>
            <w:vAlign w:val="center"/>
          </w:tcPr>
          <w:p>
            <w:pPr>
              <w:pStyle w:val="Normal"/>
              <w:widowControl w:val="false"/>
              <w:pBdr/>
              <w:spacing w:lineRule="auto" w:line="240" w:before="0" w:after="0"/>
              <w:jc w:val="left"/>
              <w:rPr>
                <w:rFonts w:ascii="Noto Sans" w:hAnsi="Noto Sans" w:eastAsia="Noto Sans" w:cs="Noto Sans"/>
                <w:b/>
                <w:b/>
                <w:color w:val="000000"/>
                <w:sz w:val="22"/>
                <w:szCs w:val="22"/>
              </w:rPr>
            </w:pPr>
            <w:r>
              <w:rPr>
                <w:rFonts w:eastAsia="Noto Sans" w:cs="Noto Sans" w:ascii="Noto Sans" w:hAnsi="Noto Sans"/>
                <w:b/>
                <w:color w:val="000000"/>
                <w:sz w:val="22"/>
                <w:szCs w:val="22"/>
              </w:rPr>
            </w:r>
          </w:p>
        </w:tc>
        <w:tc>
          <w:tcPr>
            <w:tcW w:w="1701" w:type="dxa"/>
            <w:tcBorders>
              <w:top w:val="single" w:sz="8" w:space="0" w:color="000000"/>
              <w:left w:val="single" w:sz="8" w:space="0" w:color="000000"/>
              <w:bottom w:val="single" w:sz="8" w:space="0" w:color="000000"/>
              <w:insideH w:val="single" w:sz="8" w:space="0" w:color="000000"/>
            </w:tcBorders>
            <w:shd w:fill="auto" w:val="clear"/>
            <w:vAlign w:val="center"/>
          </w:tcPr>
          <w:p>
            <w:pPr>
              <w:pStyle w:val="Normal"/>
              <w:widowControl w:val="false"/>
              <w:pBdr/>
              <w:spacing w:lineRule="auto" w:line="240" w:before="0" w:after="0"/>
              <w:jc w:val="left"/>
              <w:rPr>
                <w:rFonts w:ascii="Noto Sans" w:hAnsi="Noto Sans" w:eastAsia="Noto Sans" w:cs="Noto Sans"/>
                <w:b/>
                <w:b/>
                <w:color w:val="000000"/>
                <w:sz w:val="22"/>
                <w:szCs w:val="22"/>
              </w:rPr>
            </w:pPr>
            <w:r>
              <w:rPr>
                <w:rFonts w:eastAsia="Noto Sans" w:cs="Noto Sans" w:ascii="Noto Sans" w:hAnsi="Noto Sans"/>
                <w:b/>
                <w:color w:val="000000"/>
                <w:sz w:val="22"/>
                <w:szCs w:val="22"/>
              </w:rPr>
            </w:r>
          </w:p>
        </w:tc>
        <w:tc>
          <w:tcPr>
            <w:tcW w:w="2571"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vAlign w:val="center"/>
          </w:tcPr>
          <w:p>
            <w:pPr>
              <w:pStyle w:val="Normal"/>
              <w:widowControl w:val="false"/>
              <w:pBdr/>
              <w:spacing w:lineRule="auto" w:line="240" w:before="0" w:after="0"/>
              <w:jc w:val="left"/>
              <w:rPr>
                <w:rFonts w:ascii="Noto Sans" w:hAnsi="Noto Sans" w:eastAsia="Noto Sans" w:cs="Noto Sans"/>
                <w:b/>
                <w:b/>
                <w:color w:val="000000"/>
                <w:sz w:val="22"/>
                <w:szCs w:val="22"/>
              </w:rPr>
            </w:pPr>
            <w:r>
              <w:rPr>
                <w:rFonts w:eastAsia="Noto Sans" w:cs="Noto Sans" w:ascii="Noto Sans" w:hAnsi="Noto Sans"/>
                <w:b/>
                <w:color w:val="000000"/>
                <w:sz w:val="22"/>
                <w:szCs w:val="22"/>
              </w:rPr>
            </w:r>
          </w:p>
        </w:tc>
      </w:tr>
      <w:tr>
        <w:trPr>
          <w:trHeight w:val="187" w:hRule="atLeast"/>
        </w:trPr>
        <w:tc>
          <w:tcPr>
            <w:tcW w:w="1922" w:type="dxa"/>
            <w:vMerge w:val="continue"/>
            <w:tcBorders>
              <w:top w:val="single" w:sz="8" w:space="0" w:color="000000"/>
              <w:left w:val="single" w:sz="8" w:space="0" w:color="000000"/>
              <w:bottom w:val="single" w:sz="8" w:space="0" w:color="000000"/>
              <w:insideH w:val="single" w:sz="8" w:space="0" w:color="000000"/>
            </w:tcBorders>
            <w:shd w:fill="auto" w:val="clear"/>
            <w:vAlign w:val="center"/>
          </w:tcPr>
          <w:p>
            <w:pPr>
              <w:pStyle w:val="Normal"/>
              <w:widowControl w:val="false"/>
              <w:pBdr/>
              <w:spacing w:before="0" w:after="0"/>
              <w:jc w:val="left"/>
              <w:rPr>
                <w:rFonts w:ascii="Noto Sans" w:hAnsi="Noto Sans" w:eastAsia="Noto Sans" w:cs="Noto Sans"/>
                <w:bCs/>
                <w:color w:val="000000"/>
              </w:rPr>
            </w:pPr>
            <w:r>
              <w:rPr>
                <w:rFonts w:eastAsia="Noto Sans" w:cs="Noto Sans" w:ascii="Noto Sans" w:hAnsi="Noto Sans"/>
                <w:bCs/>
                <w:color w:val="000000"/>
              </w:rPr>
            </w:r>
          </w:p>
        </w:tc>
        <w:tc>
          <w:tcPr>
            <w:tcW w:w="2652" w:type="dxa"/>
            <w:tcBorders>
              <w:top w:val="single" w:sz="8" w:space="0" w:color="000000"/>
              <w:left w:val="single" w:sz="8" w:space="0" w:color="000000"/>
              <w:bottom w:val="single" w:sz="8" w:space="0" w:color="000000"/>
              <w:insideH w:val="single" w:sz="8" w:space="0" w:color="000000"/>
            </w:tcBorders>
            <w:shd w:fill="auto" w:val="clear"/>
            <w:vAlign w:val="center"/>
          </w:tcPr>
          <w:p>
            <w:pPr>
              <w:pStyle w:val="Normal"/>
              <w:widowControl w:val="false"/>
              <w:pBdr/>
              <w:spacing w:lineRule="auto" w:line="240" w:before="0" w:after="0"/>
              <w:jc w:val="left"/>
              <w:rPr>
                <w:rFonts w:ascii="Noto Sans" w:hAnsi="Noto Sans" w:eastAsia="Noto Sans" w:cs="Noto Sans"/>
                <w:bCs/>
                <w:color w:val="000000"/>
              </w:rPr>
            </w:pPr>
            <w:r>
              <w:rPr>
                <w:rFonts w:eastAsia="Noto Sans" w:cs="Noto Sans" w:ascii="Noto Sans" w:hAnsi="Noto Sans"/>
                <w:bCs/>
                <w:color w:val="000000"/>
              </w:rPr>
              <w:t>1.2</w:t>
            </w:r>
          </w:p>
        </w:tc>
        <w:tc>
          <w:tcPr>
            <w:tcW w:w="1663" w:type="dxa"/>
            <w:tcBorders>
              <w:top w:val="single" w:sz="8" w:space="0" w:color="000000"/>
              <w:left w:val="single" w:sz="8" w:space="0" w:color="000000"/>
              <w:bottom w:val="single" w:sz="8" w:space="0" w:color="000000"/>
              <w:insideH w:val="single" w:sz="8" w:space="0" w:color="000000"/>
            </w:tcBorders>
            <w:shd w:fill="auto" w:val="clear"/>
            <w:vAlign w:val="center"/>
          </w:tcPr>
          <w:p>
            <w:pPr>
              <w:pStyle w:val="Normal"/>
              <w:widowControl w:val="false"/>
              <w:pBdr/>
              <w:spacing w:lineRule="auto" w:line="240" w:before="0" w:after="0"/>
              <w:jc w:val="left"/>
              <w:rPr>
                <w:rFonts w:ascii="Noto Sans" w:hAnsi="Noto Sans" w:eastAsia="Noto Sans" w:cs="Noto Sans"/>
                <w:b/>
                <w:b/>
                <w:color w:val="000000"/>
                <w:sz w:val="22"/>
                <w:szCs w:val="22"/>
              </w:rPr>
            </w:pPr>
            <w:r>
              <w:rPr>
                <w:rFonts w:eastAsia="Noto Sans" w:cs="Noto Sans" w:ascii="Noto Sans" w:hAnsi="Noto Sans"/>
                <w:b/>
                <w:color w:val="000000"/>
                <w:sz w:val="22"/>
                <w:szCs w:val="22"/>
              </w:rPr>
            </w:r>
          </w:p>
        </w:tc>
        <w:tc>
          <w:tcPr>
            <w:tcW w:w="1985" w:type="dxa"/>
            <w:tcBorders>
              <w:top w:val="single" w:sz="8" w:space="0" w:color="000000"/>
              <w:left w:val="single" w:sz="8" w:space="0" w:color="000000"/>
              <w:bottom w:val="single" w:sz="8" w:space="0" w:color="000000"/>
              <w:insideH w:val="single" w:sz="8" w:space="0" w:color="000000"/>
            </w:tcBorders>
            <w:shd w:fill="auto" w:val="clear"/>
            <w:vAlign w:val="center"/>
          </w:tcPr>
          <w:p>
            <w:pPr>
              <w:pStyle w:val="Normal"/>
              <w:widowControl w:val="false"/>
              <w:pBdr/>
              <w:spacing w:lineRule="auto" w:line="240" w:before="0" w:after="0"/>
              <w:jc w:val="left"/>
              <w:rPr>
                <w:rFonts w:ascii="Noto Sans" w:hAnsi="Noto Sans" w:eastAsia="Noto Sans" w:cs="Noto Sans"/>
                <w:b/>
                <w:b/>
                <w:color w:val="000000"/>
                <w:sz w:val="22"/>
                <w:szCs w:val="22"/>
              </w:rPr>
            </w:pPr>
            <w:r>
              <w:rPr>
                <w:rFonts w:eastAsia="Noto Sans" w:cs="Noto Sans" w:ascii="Noto Sans" w:hAnsi="Noto Sans"/>
                <w:b/>
                <w:color w:val="000000"/>
                <w:sz w:val="22"/>
                <w:szCs w:val="22"/>
              </w:rPr>
            </w:r>
          </w:p>
        </w:tc>
        <w:tc>
          <w:tcPr>
            <w:tcW w:w="2126" w:type="dxa"/>
            <w:tcBorders>
              <w:top w:val="single" w:sz="8" w:space="0" w:color="000000"/>
              <w:left w:val="single" w:sz="8" w:space="0" w:color="000000"/>
              <w:bottom w:val="single" w:sz="8" w:space="0" w:color="000000"/>
              <w:insideH w:val="single" w:sz="8" w:space="0" w:color="000000"/>
            </w:tcBorders>
            <w:shd w:fill="auto" w:val="clear"/>
            <w:vAlign w:val="center"/>
          </w:tcPr>
          <w:p>
            <w:pPr>
              <w:pStyle w:val="Normal"/>
              <w:widowControl w:val="false"/>
              <w:pBdr/>
              <w:spacing w:lineRule="auto" w:line="240" w:before="0" w:after="0"/>
              <w:jc w:val="left"/>
              <w:rPr>
                <w:rFonts w:ascii="Noto Sans" w:hAnsi="Noto Sans" w:eastAsia="Noto Sans" w:cs="Noto Sans"/>
                <w:b/>
                <w:b/>
                <w:color w:val="000000"/>
                <w:sz w:val="22"/>
                <w:szCs w:val="22"/>
              </w:rPr>
            </w:pPr>
            <w:r>
              <w:rPr>
                <w:rFonts w:eastAsia="Noto Sans" w:cs="Noto Sans" w:ascii="Noto Sans" w:hAnsi="Noto Sans"/>
                <w:b/>
                <w:color w:val="000000"/>
                <w:sz w:val="22"/>
                <w:szCs w:val="22"/>
              </w:rPr>
            </w:r>
          </w:p>
        </w:tc>
        <w:tc>
          <w:tcPr>
            <w:tcW w:w="1701" w:type="dxa"/>
            <w:tcBorders>
              <w:top w:val="single" w:sz="8" w:space="0" w:color="000000"/>
              <w:left w:val="single" w:sz="8" w:space="0" w:color="000000"/>
              <w:bottom w:val="single" w:sz="8" w:space="0" w:color="000000"/>
              <w:insideH w:val="single" w:sz="8" w:space="0" w:color="000000"/>
            </w:tcBorders>
            <w:shd w:fill="auto" w:val="clear"/>
            <w:vAlign w:val="center"/>
          </w:tcPr>
          <w:p>
            <w:pPr>
              <w:pStyle w:val="Normal"/>
              <w:widowControl w:val="false"/>
              <w:pBdr/>
              <w:spacing w:lineRule="auto" w:line="240" w:before="0" w:after="0"/>
              <w:jc w:val="left"/>
              <w:rPr>
                <w:rFonts w:ascii="Noto Sans" w:hAnsi="Noto Sans" w:eastAsia="Noto Sans" w:cs="Noto Sans"/>
                <w:b/>
                <w:b/>
                <w:color w:val="000000"/>
                <w:sz w:val="22"/>
                <w:szCs w:val="22"/>
              </w:rPr>
            </w:pPr>
            <w:r>
              <w:rPr>
                <w:rFonts w:eastAsia="Noto Sans" w:cs="Noto Sans" w:ascii="Noto Sans" w:hAnsi="Noto Sans"/>
                <w:b/>
                <w:color w:val="000000"/>
                <w:sz w:val="22"/>
                <w:szCs w:val="22"/>
              </w:rPr>
            </w:r>
          </w:p>
        </w:tc>
        <w:tc>
          <w:tcPr>
            <w:tcW w:w="2571"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vAlign w:val="center"/>
          </w:tcPr>
          <w:p>
            <w:pPr>
              <w:pStyle w:val="Normal"/>
              <w:widowControl w:val="false"/>
              <w:pBdr/>
              <w:spacing w:lineRule="auto" w:line="240" w:before="0" w:after="0"/>
              <w:jc w:val="left"/>
              <w:rPr>
                <w:rFonts w:ascii="Noto Sans" w:hAnsi="Noto Sans" w:eastAsia="Noto Sans" w:cs="Noto Sans"/>
                <w:b/>
                <w:b/>
                <w:color w:val="000000"/>
                <w:sz w:val="22"/>
                <w:szCs w:val="22"/>
              </w:rPr>
            </w:pPr>
            <w:r>
              <w:rPr>
                <w:rFonts w:eastAsia="Noto Sans" w:cs="Noto Sans" w:ascii="Noto Sans" w:hAnsi="Noto Sans"/>
                <w:b/>
                <w:color w:val="000000"/>
                <w:sz w:val="22"/>
                <w:szCs w:val="22"/>
              </w:rPr>
            </w:r>
          </w:p>
        </w:tc>
      </w:tr>
      <w:tr>
        <w:trPr>
          <w:trHeight w:val="187" w:hRule="atLeast"/>
        </w:trPr>
        <w:tc>
          <w:tcPr>
            <w:tcW w:w="1922" w:type="dxa"/>
            <w:vMerge w:val="restart"/>
            <w:tcBorders>
              <w:top w:val="single" w:sz="8" w:space="0" w:color="000000"/>
              <w:left w:val="single" w:sz="8" w:space="0" w:color="000000"/>
              <w:bottom w:val="single" w:sz="8" w:space="0" w:color="000000"/>
              <w:insideH w:val="single" w:sz="8" w:space="0" w:color="000000"/>
            </w:tcBorders>
            <w:shd w:fill="auto" w:val="clear"/>
            <w:vAlign w:val="center"/>
          </w:tcPr>
          <w:p>
            <w:pPr>
              <w:pStyle w:val="Normal"/>
              <w:widowControl w:val="false"/>
              <w:pBdr/>
              <w:spacing w:lineRule="auto" w:line="240" w:before="0" w:after="0"/>
              <w:jc w:val="left"/>
              <w:rPr>
                <w:rFonts w:ascii="Noto Sans" w:hAnsi="Noto Sans" w:eastAsia="Noto Sans" w:cs="Noto Sans"/>
                <w:bCs/>
                <w:color w:val="000000"/>
              </w:rPr>
            </w:pPr>
            <w:r>
              <w:rPr>
                <w:rFonts w:eastAsia="Noto Sans" w:cs="Noto Sans" w:ascii="Noto Sans" w:hAnsi="Noto Sans"/>
                <w:bCs/>
                <w:color w:val="000000"/>
              </w:rPr>
              <w:t>2.</w:t>
            </w:r>
          </w:p>
        </w:tc>
        <w:tc>
          <w:tcPr>
            <w:tcW w:w="2652" w:type="dxa"/>
            <w:tcBorders>
              <w:top w:val="single" w:sz="8" w:space="0" w:color="000000"/>
              <w:left w:val="single" w:sz="8" w:space="0" w:color="000000"/>
              <w:bottom w:val="single" w:sz="8" w:space="0" w:color="000000"/>
              <w:insideH w:val="single" w:sz="8" w:space="0" w:color="000000"/>
            </w:tcBorders>
            <w:shd w:fill="auto" w:val="clear"/>
            <w:vAlign w:val="center"/>
          </w:tcPr>
          <w:p>
            <w:pPr>
              <w:pStyle w:val="Normal"/>
              <w:widowControl w:val="false"/>
              <w:pBdr/>
              <w:spacing w:lineRule="auto" w:line="240" w:before="0" w:after="0"/>
              <w:jc w:val="left"/>
              <w:rPr>
                <w:rFonts w:ascii="Noto Sans" w:hAnsi="Noto Sans" w:eastAsia="Noto Sans" w:cs="Noto Sans"/>
                <w:bCs/>
                <w:color w:val="000000"/>
              </w:rPr>
            </w:pPr>
            <w:r>
              <w:rPr>
                <w:rFonts w:eastAsia="Noto Sans" w:cs="Noto Sans" w:ascii="Noto Sans" w:hAnsi="Noto Sans"/>
                <w:bCs/>
                <w:color w:val="000000"/>
              </w:rPr>
              <w:t>2.1</w:t>
            </w:r>
          </w:p>
        </w:tc>
        <w:tc>
          <w:tcPr>
            <w:tcW w:w="1663" w:type="dxa"/>
            <w:tcBorders>
              <w:top w:val="single" w:sz="8" w:space="0" w:color="000000"/>
              <w:left w:val="single" w:sz="8" w:space="0" w:color="000000"/>
              <w:bottom w:val="single" w:sz="8" w:space="0" w:color="000000"/>
              <w:insideH w:val="single" w:sz="8" w:space="0" w:color="000000"/>
            </w:tcBorders>
            <w:shd w:fill="auto" w:val="clear"/>
            <w:vAlign w:val="center"/>
          </w:tcPr>
          <w:p>
            <w:pPr>
              <w:pStyle w:val="Normal"/>
              <w:widowControl w:val="false"/>
              <w:pBdr/>
              <w:spacing w:lineRule="auto" w:line="240" w:before="0" w:after="0"/>
              <w:jc w:val="left"/>
              <w:rPr>
                <w:rFonts w:ascii="Noto Sans" w:hAnsi="Noto Sans" w:eastAsia="Noto Sans" w:cs="Noto Sans"/>
                <w:b/>
                <w:b/>
                <w:color w:val="000000"/>
                <w:sz w:val="22"/>
                <w:szCs w:val="22"/>
              </w:rPr>
            </w:pPr>
            <w:r>
              <w:rPr>
                <w:rFonts w:eastAsia="Noto Sans" w:cs="Noto Sans" w:ascii="Noto Sans" w:hAnsi="Noto Sans"/>
                <w:b/>
                <w:color w:val="000000"/>
                <w:sz w:val="22"/>
                <w:szCs w:val="22"/>
              </w:rPr>
            </w:r>
          </w:p>
        </w:tc>
        <w:tc>
          <w:tcPr>
            <w:tcW w:w="1985" w:type="dxa"/>
            <w:tcBorders>
              <w:top w:val="single" w:sz="8" w:space="0" w:color="000000"/>
              <w:left w:val="single" w:sz="8" w:space="0" w:color="000000"/>
              <w:bottom w:val="single" w:sz="8" w:space="0" w:color="000000"/>
              <w:insideH w:val="single" w:sz="8" w:space="0" w:color="000000"/>
            </w:tcBorders>
            <w:shd w:fill="auto" w:val="clear"/>
            <w:vAlign w:val="center"/>
          </w:tcPr>
          <w:p>
            <w:pPr>
              <w:pStyle w:val="Normal"/>
              <w:widowControl w:val="false"/>
              <w:pBdr/>
              <w:spacing w:lineRule="auto" w:line="240" w:before="0" w:after="0"/>
              <w:jc w:val="left"/>
              <w:rPr>
                <w:rFonts w:ascii="Noto Sans" w:hAnsi="Noto Sans" w:eastAsia="Noto Sans" w:cs="Noto Sans"/>
                <w:b/>
                <w:b/>
                <w:color w:val="000000"/>
                <w:sz w:val="22"/>
                <w:szCs w:val="22"/>
                <w:highlight w:val="yellow"/>
              </w:rPr>
            </w:pPr>
            <w:r>
              <w:rPr>
                <w:rFonts w:eastAsia="Noto Sans" w:cs="Noto Sans" w:ascii="Noto Sans" w:hAnsi="Noto Sans"/>
                <w:b/>
                <w:color w:val="000000"/>
                <w:sz w:val="22"/>
                <w:szCs w:val="22"/>
                <w:highlight w:val="yellow"/>
              </w:rPr>
            </w:r>
          </w:p>
        </w:tc>
        <w:tc>
          <w:tcPr>
            <w:tcW w:w="2126" w:type="dxa"/>
            <w:tcBorders>
              <w:top w:val="single" w:sz="8" w:space="0" w:color="000000"/>
              <w:left w:val="single" w:sz="8" w:space="0" w:color="000000"/>
              <w:bottom w:val="single" w:sz="8" w:space="0" w:color="000000"/>
              <w:insideH w:val="single" w:sz="8" w:space="0" w:color="000000"/>
            </w:tcBorders>
            <w:shd w:fill="auto" w:val="clear"/>
            <w:vAlign w:val="center"/>
          </w:tcPr>
          <w:p>
            <w:pPr>
              <w:pStyle w:val="Normal"/>
              <w:widowControl w:val="false"/>
              <w:pBdr/>
              <w:spacing w:lineRule="auto" w:line="240" w:before="0" w:after="0"/>
              <w:jc w:val="left"/>
              <w:rPr>
                <w:rFonts w:ascii="Noto Sans" w:hAnsi="Noto Sans" w:eastAsia="Noto Sans" w:cs="Noto Sans"/>
                <w:b/>
                <w:b/>
                <w:color w:val="000000"/>
                <w:sz w:val="22"/>
                <w:szCs w:val="22"/>
                <w:highlight w:val="yellow"/>
              </w:rPr>
            </w:pPr>
            <w:r>
              <w:rPr>
                <w:rFonts w:eastAsia="Noto Sans" w:cs="Noto Sans" w:ascii="Noto Sans" w:hAnsi="Noto Sans"/>
                <w:b/>
                <w:color w:val="000000"/>
                <w:sz w:val="22"/>
                <w:szCs w:val="22"/>
                <w:highlight w:val="yellow"/>
              </w:rPr>
            </w:r>
          </w:p>
        </w:tc>
        <w:tc>
          <w:tcPr>
            <w:tcW w:w="1701" w:type="dxa"/>
            <w:tcBorders>
              <w:top w:val="single" w:sz="8" w:space="0" w:color="000000"/>
              <w:left w:val="single" w:sz="8" w:space="0" w:color="000000"/>
              <w:bottom w:val="single" w:sz="8" w:space="0" w:color="000000"/>
              <w:insideH w:val="single" w:sz="8" w:space="0" w:color="000000"/>
            </w:tcBorders>
            <w:shd w:fill="auto" w:val="clear"/>
            <w:vAlign w:val="center"/>
          </w:tcPr>
          <w:p>
            <w:pPr>
              <w:pStyle w:val="Normal"/>
              <w:widowControl w:val="false"/>
              <w:pBdr/>
              <w:spacing w:lineRule="auto" w:line="240" w:before="0" w:after="0"/>
              <w:jc w:val="left"/>
              <w:rPr>
                <w:rFonts w:ascii="Noto Sans" w:hAnsi="Noto Sans" w:eastAsia="Noto Sans" w:cs="Noto Sans"/>
                <w:b/>
                <w:b/>
                <w:color w:val="000000"/>
                <w:sz w:val="22"/>
                <w:szCs w:val="22"/>
                <w:highlight w:val="yellow"/>
              </w:rPr>
            </w:pPr>
            <w:r>
              <w:rPr>
                <w:rFonts w:eastAsia="Noto Sans" w:cs="Noto Sans" w:ascii="Noto Sans" w:hAnsi="Noto Sans"/>
                <w:b/>
                <w:color w:val="000000"/>
                <w:sz w:val="22"/>
                <w:szCs w:val="22"/>
                <w:highlight w:val="yellow"/>
              </w:rPr>
            </w:r>
          </w:p>
        </w:tc>
        <w:tc>
          <w:tcPr>
            <w:tcW w:w="2571"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vAlign w:val="center"/>
          </w:tcPr>
          <w:p>
            <w:pPr>
              <w:pStyle w:val="Normal"/>
              <w:widowControl w:val="false"/>
              <w:pBdr/>
              <w:spacing w:lineRule="auto" w:line="240" w:before="0" w:after="0"/>
              <w:jc w:val="left"/>
              <w:rPr>
                <w:rFonts w:ascii="Noto Sans" w:hAnsi="Noto Sans" w:eastAsia="Noto Sans" w:cs="Noto Sans"/>
                <w:b/>
                <w:b/>
                <w:color w:val="000000"/>
                <w:sz w:val="22"/>
                <w:szCs w:val="22"/>
                <w:highlight w:val="yellow"/>
              </w:rPr>
            </w:pPr>
            <w:r>
              <w:rPr>
                <w:rFonts w:eastAsia="Noto Sans" w:cs="Noto Sans" w:ascii="Noto Sans" w:hAnsi="Noto Sans"/>
                <w:b/>
                <w:color w:val="000000"/>
                <w:sz w:val="22"/>
                <w:szCs w:val="22"/>
                <w:highlight w:val="yellow"/>
              </w:rPr>
            </w:r>
          </w:p>
        </w:tc>
      </w:tr>
      <w:tr>
        <w:trPr>
          <w:trHeight w:val="187" w:hRule="atLeast"/>
        </w:trPr>
        <w:tc>
          <w:tcPr>
            <w:tcW w:w="1922" w:type="dxa"/>
            <w:vMerge w:val="continue"/>
            <w:tcBorders>
              <w:top w:val="single" w:sz="8" w:space="0" w:color="000000"/>
              <w:left w:val="single" w:sz="8" w:space="0" w:color="000000"/>
              <w:bottom w:val="single" w:sz="8" w:space="0" w:color="000000"/>
              <w:insideH w:val="single" w:sz="8" w:space="0" w:color="000000"/>
            </w:tcBorders>
            <w:shd w:fill="auto" w:val="clear"/>
            <w:vAlign w:val="center"/>
          </w:tcPr>
          <w:p>
            <w:pPr>
              <w:pStyle w:val="Normal"/>
              <w:widowControl w:val="false"/>
              <w:pBdr/>
              <w:spacing w:before="0" w:after="0"/>
              <w:jc w:val="left"/>
              <w:rPr>
                <w:rFonts w:ascii="Noto Sans" w:hAnsi="Noto Sans" w:eastAsia="Noto Sans" w:cs="Noto Sans"/>
                <w:bCs/>
                <w:color w:val="000000"/>
                <w:sz w:val="22"/>
                <w:szCs w:val="22"/>
                <w:highlight w:val="yellow"/>
              </w:rPr>
            </w:pPr>
            <w:r>
              <w:rPr>
                <w:rFonts w:eastAsia="Noto Sans" w:cs="Noto Sans" w:ascii="Noto Sans" w:hAnsi="Noto Sans"/>
                <w:bCs/>
                <w:color w:val="000000"/>
                <w:sz w:val="22"/>
                <w:szCs w:val="22"/>
                <w:highlight w:val="yellow"/>
              </w:rPr>
            </w:r>
          </w:p>
        </w:tc>
        <w:tc>
          <w:tcPr>
            <w:tcW w:w="2652" w:type="dxa"/>
            <w:tcBorders>
              <w:top w:val="single" w:sz="8" w:space="0" w:color="000000"/>
              <w:left w:val="single" w:sz="8" w:space="0" w:color="000000"/>
              <w:bottom w:val="single" w:sz="8" w:space="0" w:color="000000"/>
              <w:insideH w:val="single" w:sz="8" w:space="0" w:color="000000"/>
            </w:tcBorders>
            <w:shd w:fill="auto" w:val="clear"/>
            <w:vAlign w:val="center"/>
          </w:tcPr>
          <w:p>
            <w:pPr>
              <w:pStyle w:val="Normal"/>
              <w:widowControl w:val="false"/>
              <w:pBdr/>
              <w:spacing w:lineRule="auto" w:line="240" w:before="0" w:after="0"/>
              <w:jc w:val="left"/>
              <w:rPr>
                <w:rFonts w:ascii="Noto Sans" w:hAnsi="Noto Sans" w:eastAsia="Noto Sans" w:cs="Noto Sans"/>
                <w:bCs/>
                <w:color w:val="000000"/>
              </w:rPr>
            </w:pPr>
            <w:r>
              <w:rPr>
                <w:rFonts w:eastAsia="Noto Sans" w:cs="Noto Sans" w:ascii="Noto Sans" w:hAnsi="Noto Sans"/>
                <w:bCs/>
                <w:color w:val="000000"/>
              </w:rPr>
              <w:t>2.2</w:t>
            </w:r>
          </w:p>
        </w:tc>
        <w:tc>
          <w:tcPr>
            <w:tcW w:w="1663" w:type="dxa"/>
            <w:tcBorders>
              <w:top w:val="single" w:sz="8" w:space="0" w:color="000000"/>
              <w:left w:val="single" w:sz="8" w:space="0" w:color="000000"/>
              <w:bottom w:val="single" w:sz="8" w:space="0" w:color="000000"/>
              <w:insideH w:val="single" w:sz="8" w:space="0" w:color="000000"/>
            </w:tcBorders>
            <w:shd w:fill="auto" w:val="clear"/>
            <w:vAlign w:val="center"/>
          </w:tcPr>
          <w:p>
            <w:pPr>
              <w:pStyle w:val="Normal"/>
              <w:widowControl w:val="false"/>
              <w:pBdr/>
              <w:spacing w:lineRule="auto" w:line="240" w:before="0" w:after="0"/>
              <w:jc w:val="left"/>
              <w:rPr>
                <w:rFonts w:ascii="Noto Sans" w:hAnsi="Noto Sans" w:eastAsia="Noto Sans" w:cs="Noto Sans"/>
                <w:b/>
                <w:b/>
                <w:color w:val="000000"/>
                <w:sz w:val="22"/>
                <w:szCs w:val="22"/>
              </w:rPr>
            </w:pPr>
            <w:r>
              <w:rPr>
                <w:rFonts w:eastAsia="Noto Sans" w:cs="Noto Sans" w:ascii="Noto Sans" w:hAnsi="Noto Sans"/>
                <w:b/>
                <w:color w:val="000000"/>
                <w:sz w:val="22"/>
                <w:szCs w:val="22"/>
              </w:rPr>
            </w:r>
          </w:p>
        </w:tc>
        <w:tc>
          <w:tcPr>
            <w:tcW w:w="1985" w:type="dxa"/>
            <w:tcBorders>
              <w:top w:val="single" w:sz="8" w:space="0" w:color="000000"/>
              <w:left w:val="single" w:sz="8" w:space="0" w:color="000000"/>
              <w:bottom w:val="single" w:sz="8" w:space="0" w:color="000000"/>
              <w:insideH w:val="single" w:sz="8" w:space="0" w:color="000000"/>
            </w:tcBorders>
            <w:shd w:fill="auto" w:val="clear"/>
            <w:vAlign w:val="center"/>
          </w:tcPr>
          <w:p>
            <w:pPr>
              <w:pStyle w:val="Normal"/>
              <w:widowControl w:val="false"/>
              <w:pBdr/>
              <w:spacing w:lineRule="auto" w:line="240" w:before="0" w:after="0"/>
              <w:jc w:val="left"/>
              <w:rPr>
                <w:rFonts w:ascii="Noto Sans" w:hAnsi="Noto Sans" w:eastAsia="Noto Sans" w:cs="Noto Sans"/>
                <w:b/>
                <w:b/>
                <w:color w:val="000000"/>
                <w:sz w:val="22"/>
                <w:szCs w:val="22"/>
                <w:highlight w:val="yellow"/>
              </w:rPr>
            </w:pPr>
            <w:r>
              <w:rPr>
                <w:rFonts w:eastAsia="Noto Sans" w:cs="Noto Sans" w:ascii="Noto Sans" w:hAnsi="Noto Sans"/>
                <w:b/>
                <w:color w:val="000000"/>
                <w:sz w:val="22"/>
                <w:szCs w:val="22"/>
                <w:highlight w:val="yellow"/>
              </w:rPr>
            </w:r>
          </w:p>
        </w:tc>
        <w:tc>
          <w:tcPr>
            <w:tcW w:w="2126" w:type="dxa"/>
            <w:tcBorders>
              <w:top w:val="single" w:sz="8" w:space="0" w:color="000000"/>
              <w:left w:val="single" w:sz="8" w:space="0" w:color="000000"/>
              <w:bottom w:val="single" w:sz="8" w:space="0" w:color="000000"/>
              <w:insideH w:val="single" w:sz="8" w:space="0" w:color="000000"/>
            </w:tcBorders>
            <w:shd w:fill="auto" w:val="clear"/>
            <w:vAlign w:val="center"/>
          </w:tcPr>
          <w:p>
            <w:pPr>
              <w:pStyle w:val="Normal"/>
              <w:widowControl w:val="false"/>
              <w:pBdr/>
              <w:spacing w:lineRule="auto" w:line="240" w:before="0" w:after="0"/>
              <w:jc w:val="left"/>
              <w:rPr>
                <w:rFonts w:ascii="Noto Sans" w:hAnsi="Noto Sans" w:eastAsia="Noto Sans" w:cs="Noto Sans"/>
                <w:b/>
                <w:b/>
                <w:color w:val="000000"/>
                <w:sz w:val="22"/>
                <w:szCs w:val="22"/>
                <w:highlight w:val="yellow"/>
              </w:rPr>
            </w:pPr>
            <w:r>
              <w:rPr>
                <w:rFonts w:eastAsia="Noto Sans" w:cs="Noto Sans" w:ascii="Noto Sans" w:hAnsi="Noto Sans"/>
                <w:b/>
                <w:color w:val="000000"/>
                <w:sz w:val="22"/>
                <w:szCs w:val="22"/>
                <w:highlight w:val="yellow"/>
              </w:rPr>
            </w:r>
          </w:p>
        </w:tc>
        <w:tc>
          <w:tcPr>
            <w:tcW w:w="1701" w:type="dxa"/>
            <w:tcBorders>
              <w:top w:val="single" w:sz="8" w:space="0" w:color="000000"/>
              <w:left w:val="single" w:sz="8" w:space="0" w:color="000000"/>
              <w:bottom w:val="single" w:sz="8" w:space="0" w:color="000000"/>
              <w:insideH w:val="single" w:sz="8" w:space="0" w:color="000000"/>
            </w:tcBorders>
            <w:shd w:fill="auto" w:val="clear"/>
            <w:vAlign w:val="center"/>
          </w:tcPr>
          <w:p>
            <w:pPr>
              <w:pStyle w:val="Normal"/>
              <w:widowControl w:val="false"/>
              <w:pBdr/>
              <w:spacing w:lineRule="auto" w:line="240" w:before="0" w:after="0"/>
              <w:jc w:val="left"/>
              <w:rPr>
                <w:rFonts w:ascii="Noto Sans" w:hAnsi="Noto Sans" w:eastAsia="Noto Sans" w:cs="Noto Sans"/>
                <w:b/>
                <w:b/>
                <w:color w:val="000000"/>
                <w:sz w:val="22"/>
                <w:szCs w:val="22"/>
                <w:highlight w:val="yellow"/>
              </w:rPr>
            </w:pPr>
            <w:r>
              <w:rPr>
                <w:rFonts w:eastAsia="Noto Sans" w:cs="Noto Sans" w:ascii="Noto Sans" w:hAnsi="Noto Sans"/>
                <w:b/>
                <w:color w:val="000000"/>
                <w:sz w:val="22"/>
                <w:szCs w:val="22"/>
                <w:highlight w:val="yellow"/>
              </w:rPr>
            </w:r>
          </w:p>
        </w:tc>
        <w:tc>
          <w:tcPr>
            <w:tcW w:w="2571"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vAlign w:val="center"/>
          </w:tcPr>
          <w:p>
            <w:pPr>
              <w:pStyle w:val="Normal"/>
              <w:widowControl w:val="false"/>
              <w:pBdr/>
              <w:spacing w:lineRule="auto" w:line="240" w:before="0" w:after="0"/>
              <w:jc w:val="left"/>
              <w:rPr>
                <w:rFonts w:ascii="Noto Sans" w:hAnsi="Noto Sans" w:eastAsia="Noto Sans" w:cs="Noto Sans"/>
                <w:b/>
                <w:b/>
                <w:color w:val="000000"/>
                <w:sz w:val="22"/>
                <w:szCs w:val="22"/>
                <w:highlight w:val="yellow"/>
              </w:rPr>
            </w:pPr>
            <w:r>
              <w:rPr>
                <w:rFonts w:eastAsia="Noto Sans" w:cs="Noto Sans" w:ascii="Noto Sans" w:hAnsi="Noto Sans"/>
                <w:b/>
                <w:color w:val="000000"/>
                <w:sz w:val="22"/>
                <w:szCs w:val="22"/>
                <w:highlight w:val="yellow"/>
              </w:rPr>
            </w:r>
          </w:p>
        </w:tc>
      </w:tr>
    </w:tbl>
    <w:p>
      <w:pPr>
        <w:pStyle w:val="Normal"/>
        <w:pBdr/>
        <w:spacing w:before="0" w:after="200"/>
        <w:rPr/>
      </w:pPr>
      <w:r>
        <w:rPr/>
      </w:r>
    </w:p>
    <w:sectPr>
      <w:headerReference w:type="default" r:id="rId9"/>
      <w:footerReference w:type="default" r:id="rId10"/>
      <w:type w:val="nextPage"/>
      <w:pgSz w:orient="landscape" w:w="16838" w:h="11906"/>
      <w:pgMar w:left="1417" w:right="962" w:header="708" w:top="3119" w:footer="708" w:bottom="1701" w:gutter="0"/>
      <w:pgNumType w:fmt="decimal"/>
      <w:formProt w:val="false"/>
      <w:textDirection w:val="lrTb"/>
      <w:docGrid w:type="default" w:linePitch="100" w:charSpace="8192"/>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embedRegular r:id="rId1" w:fontKey="{01014A78-CABC-4EF0-12AC-5CD89AEFDE01}"/>
    <w:embedBold r:id="rId2" w:fontKey="{02014A78-CABC-4EF0-12AC-5CD89AEFDE02}"/>
    <w:embedItalic r:id="rId3" w:fontKey="{03014A78-CABC-4EF0-12AC-5CD89AEFDE03}"/>
    <w:embedBoldItalic r:id="rId4" w:fontKey="{04014A78-CABC-4EF0-12AC-5CD89AEFDE04}"/>
  </w:font>
  <w:font w:name="Symbol">
    <w:charset w:val="02"/>
    <w:family w:val="roman"/>
    <w:pitch w:val="variable"/>
    <w:embedRegular r:id="rId5" w:fontKey="{05014A78-CABC-4EF0-12AC-5CD89AEFDE05}"/>
  </w:font>
  <w:font w:name="Arial">
    <w:charset w:val="00"/>
    <w:family w:val="swiss"/>
    <w:pitch w:val="variable"/>
    <w:embedRegular r:id="rId6" w:fontKey="{06014A78-CABC-4EF0-12AC-5CD89AEFDE06}"/>
    <w:embedBold r:id="rId7" w:fontKey="{07014A78-CABC-4EF0-12AC-5CD89AEFDE07}"/>
    <w:embedItalic r:id="rId8" w:fontKey="{08014A78-CABC-4EF0-12AC-5CD89AEFDE08}"/>
    <w:embedBoldItalic r:id="rId9" w:fontKey="{09014A78-CABC-4EF0-12AC-5CD89AEFDE09}"/>
  </w:font>
  <w:font w:name="Liberation Serif">
    <w:altName w:val="Times New Roman"/>
    <w:charset w:val="00"/>
    <w:family w:val="roman"/>
    <w:pitch w:val="variable"/>
    <w:embedRegular r:id="rId10" w:fontKey="{0A014A78-CABC-4EF0-12AC-5CD89AEFDE0A}"/>
    <w:embedBold r:id="rId11" w:fontKey="{0B014A78-CABC-4EF0-12AC-5CD89AEFDE0B}"/>
    <w:embedItalic r:id="rId12" w:fontKey="{0C014A78-CABC-4EF0-12AC-5CD89AEFDE0C}"/>
    <w:embedBoldItalic r:id="rId13" w:fontKey="{0D014A78-CABC-4EF0-12AC-5CD89AEFDE0D}"/>
  </w:font>
  <w:font w:name="Calibri">
    <w:charset w:val="00"/>
    <w:family w:val="roman"/>
    <w:pitch w:val="variable"/>
  </w:font>
  <w:font w:name="Noto Sans">
    <w:charset w:val="00"/>
    <w:family w:val="roman"/>
    <w:pitch w:val="variable"/>
  </w:font>
  <w:font w:name="Liberation Sans">
    <w:altName w:val="Arial"/>
    <w:charset w:val="00"/>
    <w:family w:val="swiss"/>
    <w:pitch w:val="variable"/>
    <w:embedRegular r:id="rId14" w:fontKey="{0E014A78-CABC-4EF0-12AC-5CD89AEFDE0E}"/>
    <w:embedBold r:id="rId15" w:fontKey="{0F014A78-CABC-4EF0-12AC-5CD89AEFDE0F}"/>
    <w:embedItalic r:id="rId16" w:fontKey="{10014A78-CABC-4EF0-12AC-5CD89AEFDE10}"/>
    <w:embedBoldItalic r:id="rId17" w:fontKey="{11014A78-CABC-4EF0-12AC-5CD89AEFDE11}"/>
  </w:font>
  <w:font w:name="Noto Sans Batak">
    <w:charset w:val="00"/>
    <w:family w:val="roman"/>
    <w:pitch w:val="variable"/>
  </w:font>
  <w:font w:name="OpenSymbol">
    <w:altName w:val="Arial Unicode MS"/>
    <w:charset w:val="01"/>
    <w:family w:val="auto"/>
    <w:pitch w:val="default"/>
    <w:embedRegular r:id="rId18" w:fontKey="{12014A78-CABC-4EF0-12AC-5CD89AEFDE12}"/>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Normal"/>
      <w:pBdr/>
      <w:tabs>
        <w:tab w:val="clear" w:pos="720"/>
        <w:tab w:val="center" w:pos="4419" w:leader="none"/>
        <w:tab w:val="right" w:pos="8838" w:leader="none"/>
      </w:tabs>
      <w:jc w:val="center"/>
      <w:rPr/>
    </w:pPr>
    <w:r>
      <w:rPr>
        <w:rFonts w:eastAsia="Noto Sans" w:cs="Noto Sans" w:ascii="Noto Sans" w:hAnsi="Noto Sans"/>
        <w:color w:val="000000"/>
      </w:rPr>
      <w:fldChar w:fldCharType="begin"/>
    </w:r>
    <w:r>
      <w:rPr>
        <w:rFonts w:eastAsia="Noto Sans" w:cs="Noto Sans" w:ascii="Noto Sans" w:hAnsi="Noto Sans"/>
      </w:rPr>
      <w:instrText> PAGE </w:instrText>
    </w:r>
    <w:r>
      <w:rPr>
        <w:rFonts w:eastAsia="Noto Sans" w:cs="Noto Sans" w:ascii="Noto Sans" w:hAnsi="Noto Sans"/>
      </w:rPr>
      <w:fldChar w:fldCharType="separate"/>
    </w:r>
    <w:r>
      <w:rPr>
        <w:rFonts w:eastAsia="Noto Sans" w:cs="Noto Sans" w:ascii="Noto Sans" w:hAnsi="Noto Sans"/>
      </w:rPr>
      <w:t>9</w:t>
    </w:r>
    <w:r>
      <w:rPr>
        <w:rFonts w:eastAsia="Noto Sans" w:cs="Noto Sans" w:ascii="Noto Sans" w:hAnsi="Noto Sans"/>
      </w:rPr>
      <w:fldChar w:fldCharType="end"/>
    </w:r>
  </w:p>
  <w:p>
    <w:pPr>
      <w:pStyle w:val="Normal"/>
      <w:pBdr/>
      <w:tabs>
        <w:tab w:val="clear" w:pos="720"/>
        <w:tab w:val="center" w:pos="4419" w:leader="none"/>
        <w:tab w:val="right" w:pos="8838" w:leader="none"/>
      </w:tabs>
      <w:spacing w:before="0" w:after="200"/>
      <w:rPr>
        <w:color w:val="000000"/>
      </w:rPr>
    </w:pPr>
    <w:r>
      <w:rPr>
        <w:color w:val="000000"/>
      </w:rPr>
    </w:r>
  </w:p>
</w:ftr>
</file>

<file path=word/footer2.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Normal"/>
      <w:pBdr/>
      <w:tabs>
        <w:tab w:val="clear" w:pos="720"/>
        <w:tab w:val="center" w:pos="4419" w:leader="none"/>
        <w:tab w:val="right" w:pos="8838" w:leader="none"/>
      </w:tabs>
      <w:jc w:val="center"/>
      <w:rPr/>
    </w:pPr>
    <w:r>
      <w:rPr>
        <w:rFonts w:eastAsia="Noto Sans" w:cs="Noto Sans" w:ascii="Noto Sans" w:hAnsi="Noto Sans"/>
        <w:color w:val="000000"/>
      </w:rPr>
      <w:fldChar w:fldCharType="begin"/>
    </w:r>
    <w:r>
      <w:rPr>
        <w:rFonts w:eastAsia="Noto Sans" w:cs="Noto Sans" w:ascii="Noto Sans" w:hAnsi="Noto Sans"/>
      </w:rPr>
      <w:instrText> PAGE </w:instrText>
    </w:r>
    <w:r>
      <w:rPr>
        <w:rFonts w:eastAsia="Noto Sans" w:cs="Noto Sans" w:ascii="Noto Sans" w:hAnsi="Noto Sans"/>
      </w:rPr>
      <w:fldChar w:fldCharType="separate"/>
    </w:r>
    <w:r>
      <w:rPr>
        <w:rFonts w:eastAsia="Noto Sans" w:cs="Noto Sans" w:ascii="Noto Sans" w:hAnsi="Noto Sans"/>
      </w:rPr>
      <w:t>15</w:t>
    </w:r>
    <w:r>
      <w:rPr>
        <w:rFonts w:eastAsia="Noto Sans" w:cs="Noto Sans" w:ascii="Noto Sans" w:hAnsi="Noto Sans"/>
      </w:rPr>
      <w:fldChar w:fldCharType="end"/>
    </w:r>
  </w:p>
  <w:p>
    <w:pPr>
      <w:pStyle w:val="Normal"/>
      <w:pBdr/>
      <w:tabs>
        <w:tab w:val="clear" w:pos="720"/>
        <w:tab w:val="center" w:pos="4419" w:leader="none"/>
        <w:tab w:val="right" w:pos="8838" w:leader="none"/>
      </w:tabs>
      <w:spacing w:before="0" w:after="200"/>
      <w:rPr>
        <w:color w:val="000000"/>
      </w:rPr>
    </w:pPr>
    <w:r>
      <w:rPr>
        <w:color w:val="000000"/>
      </w:rPr>
    </w:r>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Normal"/>
      <w:pBdr/>
      <w:tabs>
        <w:tab w:val="clear" w:pos="720"/>
        <w:tab w:val="center" w:pos="4425" w:leader="none"/>
        <w:tab w:val="left" w:pos="5086" w:leader="none"/>
        <w:tab w:val="left" w:pos="6890" w:leader="none"/>
        <w:tab w:val="right" w:pos="8838" w:leader="none"/>
      </w:tabs>
      <w:spacing w:lineRule="auto" w:line="240"/>
      <w:jc w:val="left"/>
      <w:rPr>
        <w:rFonts w:ascii="Noto Sans" w:hAnsi="Noto Sans" w:eastAsia="Noto Sans" w:cs="Noto Sans"/>
        <w:b/>
        <w:b/>
        <w:color w:val="666666"/>
      </w:rPr>
    </w:pPr>
    <w:r>
      <w:rPr>
        <w:rFonts w:eastAsia="Noto Sans" w:cs="Noto Sans" w:ascii="Noto Sans" w:hAnsi="Noto Sans"/>
        <w:b/>
        <w:color w:val="666666"/>
      </w:rPr>
      <w:drawing>
        <wp:anchor behindDoc="1" distT="0" distB="0" distL="0" distR="0" simplePos="0" locked="0" layoutInCell="1" allowOverlap="1" relativeHeight="10">
          <wp:simplePos x="0" y="0"/>
          <wp:positionH relativeFrom="column">
            <wp:posOffset>-113665</wp:posOffset>
          </wp:positionH>
          <wp:positionV relativeFrom="paragraph">
            <wp:posOffset>-135255</wp:posOffset>
          </wp:positionV>
          <wp:extent cx="1256665" cy="1551940"/>
          <wp:effectExtent l="0" t="0" r="0" b="0"/>
          <wp:wrapNone/>
          <wp:docPr id="1" name="image1.jp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jpg" descr=""/>
                  <pic:cNvPicPr>
                    <a:picLocks noChangeAspect="1" noChangeArrowheads="1"/>
                  </pic:cNvPicPr>
                </pic:nvPicPr>
                <pic:blipFill>
                  <a:blip r:embed="rId1"/>
                  <a:srcRect l="-20" t="-16" r="-20" b="-16"/>
                  <a:stretch>
                    <a:fillRect/>
                  </a:stretch>
                </pic:blipFill>
                <pic:spPr bwMode="auto">
                  <a:xfrm>
                    <a:off x="0" y="0"/>
                    <a:ext cx="1256665" cy="1551940"/>
                  </a:xfrm>
                  <a:prstGeom prst="rect">
                    <a:avLst/>
                  </a:prstGeom>
                </pic:spPr>
              </pic:pic>
            </a:graphicData>
          </a:graphic>
        </wp:anchor>
      </w:drawing>
    </w:r>
  </w:p>
  <w:p>
    <w:pPr>
      <w:pStyle w:val="Normal"/>
      <w:pBdr/>
      <w:tabs>
        <w:tab w:val="clear" w:pos="720"/>
        <w:tab w:val="center" w:pos="4425" w:leader="none"/>
        <w:tab w:val="left" w:pos="5086" w:leader="none"/>
        <w:tab w:val="left" w:pos="6890" w:leader="none"/>
        <w:tab w:val="right" w:pos="8838" w:leader="none"/>
      </w:tabs>
      <w:spacing w:lineRule="auto" w:line="240"/>
      <w:rPr>
        <w:rFonts w:ascii="Noto Sans" w:hAnsi="Noto Sans" w:eastAsia="Noto Sans" w:cs="Noto Sans"/>
        <w:b/>
        <w:b/>
        <w:i/>
        <w:i/>
        <w:iCs/>
        <w:color w:val="666666"/>
        <w:sz w:val="16"/>
        <w:szCs w:val="16"/>
        <w:u w:val="single"/>
      </w:rPr>
    </w:pPr>
    <w:r>
      <w:rPr>
        <w:rFonts w:eastAsia="Noto Sans" w:cs="Noto Sans" w:ascii="Noto Sans" w:hAnsi="Noto Sans"/>
        <w:b/>
        <w:color w:val="666666"/>
      </w:rPr>
      <w:t xml:space="preserve">                                          </w:t>
    </w:r>
    <w:r>
      <w:rPr>
        <w:rFonts w:eastAsia="Noto Sans" w:cs="Noto Sans" w:ascii="Noto Sans" w:hAnsi="Noto Sans"/>
        <w:b/>
        <w:i/>
        <w:iCs/>
        <w:color w:val="666666"/>
        <w:sz w:val="16"/>
        <w:szCs w:val="16"/>
        <w:u w:val="single"/>
      </w:rPr>
      <w:t>Pla de millora. Resultats de les proves de l’avaluació de diagnòstic.</w:t>
    </w:r>
    <w:r>
      <w:rPr>
        <w:rFonts w:eastAsia="Noto Sans" w:cs="Noto Sans" w:ascii="Noto Sans" w:hAnsi="Noto Sans"/>
        <w:b/>
        <w:i/>
        <w:iCs/>
        <w:color w:val="666666"/>
        <w:sz w:val="16"/>
        <w:szCs w:val="16"/>
      </w:rPr>
      <w:t xml:space="preserve"> </w:t>
    </w:r>
    <w:r>
      <w:rPr>
        <w:rFonts w:eastAsia="Noto Sans" w:cs="Noto Sans" w:ascii="Noto Sans" w:hAnsi="Noto Sans"/>
        <w:b/>
        <w:color w:val="666666"/>
        <w:sz w:val="16"/>
        <w:szCs w:val="16"/>
      </w:rPr>
      <w:t>Desembre de  2024</w:t>
    </w:r>
    <w:r>
      <w:rPr>
        <w:rFonts w:eastAsia="Noto Sans" w:cs="Noto Sans" w:ascii="Noto Sans" w:hAnsi="Noto Sans"/>
        <w:b/>
        <w:i/>
        <w:iCs/>
        <w:color w:val="666666"/>
        <w:sz w:val="16"/>
        <w:szCs w:val="16"/>
        <w:u w:val="single"/>
      </w:rPr>
      <w:t xml:space="preserve">               </w:t>
    </w:r>
  </w:p>
  <w:p>
    <w:pPr>
      <w:pStyle w:val="Normal"/>
      <w:pBdr/>
      <w:tabs>
        <w:tab w:val="clear" w:pos="720"/>
        <w:tab w:val="center" w:pos="4425" w:leader="none"/>
        <w:tab w:val="left" w:pos="5086" w:leader="none"/>
        <w:tab w:val="left" w:pos="6890" w:leader="none"/>
        <w:tab w:val="right" w:pos="8838" w:leader="none"/>
      </w:tabs>
      <w:spacing w:lineRule="auto" w:line="240" w:before="0" w:after="200"/>
      <w:jc w:val="right"/>
      <w:rPr>
        <w:color w:val="000000"/>
      </w:rPr>
    </w:pPr>
    <w:r>
      <w:rPr>
        <w:color w:val="000000"/>
      </w:rPr>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Normal"/>
      <w:pBdr/>
      <w:tabs>
        <w:tab w:val="clear" w:pos="720"/>
        <w:tab w:val="center" w:pos="4425" w:leader="none"/>
        <w:tab w:val="left" w:pos="5086" w:leader="none"/>
        <w:tab w:val="left" w:pos="6890" w:leader="none"/>
        <w:tab w:val="right" w:pos="8838" w:leader="none"/>
      </w:tabs>
      <w:spacing w:lineRule="auto" w:line="240"/>
      <w:jc w:val="left"/>
      <w:rPr>
        <w:rFonts w:ascii="Noto Sans" w:hAnsi="Noto Sans" w:eastAsia="Noto Sans" w:cs="Noto Sans"/>
        <w:b/>
        <w:b/>
        <w:color w:val="666666"/>
      </w:rPr>
    </w:pPr>
    <w:r>
      <w:rPr>
        <w:rFonts w:eastAsia="Noto Sans" w:cs="Noto Sans" w:ascii="Noto Sans" w:hAnsi="Noto Sans"/>
        <w:b/>
        <w:color w:val="666666"/>
      </w:rPr>
      <w:drawing>
        <wp:anchor behindDoc="1" distT="0" distB="0" distL="0" distR="0" simplePos="0" locked="0" layoutInCell="1" allowOverlap="1" relativeHeight="16">
          <wp:simplePos x="0" y="0"/>
          <wp:positionH relativeFrom="column">
            <wp:posOffset>-113665</wp:posOffset>
          </wp:positionH>
          <wp:positionV relativeFrom="paragraph">
            <wp:posOffset>-135255</wp:posOffset>
          </wp:positionV>
          <wp:extent cx="1256665" cy="1551940"/>
          <wp:effectExtent l="0" t="0" r="0" b="0"/>
          <wp:wrapNone/>
          <wp:docPr id="2" name="Imatge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tge1" descr=""/>
                  <pic:cNvPicPr>
                    <a:picLocks noChangeAspect="1" noChangeArrowheads="1"/>
                  </pic:cNvPicPr>
                </pic:nvPicPr>
                <pic:blipFill>
                  <a:blip r:embed="rId1"/>
                  <a:srcRect l="-20" t="-16" r="-20" b="-16"/>
                  <a:stretch>
                    <a:fillRect/>
                  </a:stretch>
                </pic:blipFill>
                <pic:spPr bwMode="auto">
                  <a:xfrm>
                    <a:off x="0" y="0"/>
                    <a:ext cx="1256665" cy="1551940"/>
                  </a:xfrm>
                  <a:prstGeom prst="rect">
                    <a:avLst/>
                  </a:prstGeom>
                </pic:spPr>
              </pic:pic>
            </a:graphicData>
          </a:graphic>
        </wp:anchor>
      </w:drawing>
    </w:r>
  </w:p>
  <w:p>
    <w:pPr>
      <w:pStyle w:val="Normal"/>
      <w:pBdr/>
      <w:tabs>
        <w:tab w:val="clear" w:pos="720"/>
        <w:tab w:val="center" w:pos="4425" w:leader="none"/>
        <w:tab w:val="left" w:pos="5086" w:leader="none"/>
        <w:tab w:val="left" w:pos="6890" w:leader="none"/>
        <w:tab w:val="right" w:pos="8838" w:leader="none"/>
      </w:tabs>
      <w:spacing w:lineRule="auto" w:line="240" w:before="0" w:after="200"/>
      <w:jc w:val="right"/>
      <w:rPr>
        <w:color w:val="000000"/>
      </w:rPr>
    </w:pPr>
    <w:r>
      <w:rPr>
        <w:rFonts w:eastAsia="Noto Sans" w:cs="Noto Sans" w:ascii="Noto Sans" w:hAnsi="Noto Sans"/>
        <w:b/>
        <w:i/>
        <w:iCs/>
        <w:color w:val="666666"/>
        <w:sz w:val="16"/>
        <w:szCs w:val="16"/>
        <w:u w:val="single"/>
      </w:rPr>
      <w:t>Pla de millora. Resultats de les proves de l’avaluació de diagnòstic.</w:t>
    </w:r>
    <w:r>
      <w:rPr>
        <w:rFonts w:eastAsia="Noto Sans" w:cs="Noto Sans" w:ascii="Noto Sans" w:hAnsi="Noto Sans"/>
        <w:b/>
        <w:i/>
        <w:iCs/>
        <w:color w:val="666666"/>
        <w:sz w:val="16"/>
        <w:szCs w:val="16"/>
      </w:rPr>
      <w:t xml:space="preserve"> </w:t>
    </w:r>
    <w:r>
      <w:rPr>
        <w:rFonts w:eastAsia="Noto Sans" w:cs="Noto Sans" w:ascii="Noto Sans" w:hAnsi="Noto Sans"/>
        <w:b/>
        <w:color w:val="666666"/>
        <w:sz w:val="16"/>
        <w:szCs w:val="16"/>
      </w:rPr>
      <w:t>Desembre de  2024</w:t>
    </w:r>
    <w:r>
      <w:rPr>
        <w:b/>
        <w:color w:val="000000"/>
        <w:sz w:val="22"/>
        <w:szCs w:val="22"/>
      </w:rPr>
      <w:t xml:space="preserve"> </w:t>
    </w:r>
  </w:p>
</w:hd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bullet"/>
      <w:lvlText w:val="-"/>
      <w:lvlJc w:val="left"/>
      <w:pPr>
        <w:ind w:left="720" w:hanging="360"/>
      </w:pPr>
      <w:rPr>
        <w:rFonts w:ascii="OpenSymbol" w:hAnsi="OpenSymbol" w:cs="OpenSymbol" w:hint="default"/>
        <w:sz w:val="22"/>
        <w:u w:val="none"/>
        <w:b/>
      </w:rPr>
    </w:lvl>
    <w:lvl w:ilvl="1">
      <w:start w:val="1"/>
      <w:numFmt w:val="bullet"/>
      <w:lvlText w:val="-"/>
      <w:lvlJc w:val="left"/>
      <w:pPr>
        <w:ind w:left="1440" w:hanging="360"/>
      </w:pPr>
      <w:rPr>
        <w:rFonts w:ascii="OpenSymbol" w:hAnsi="OpenSymbol" w:cs="OpenSymbol" w:hint="default"/>
        <w:u w:val="none"/>
      </w:rPr>
    </w:lvl>
    <w:lvl w:ilvl="2">
      <w:start w:val="1"/>
      <w:numFmt w:val="bullet"/>
      <w:lvlText w:val="-"/>
      <w:lvlJc w:val="left"/>
      <w:pPr>
        <w:ind w:left="2160" w:hanging="360"/>
      </w:pPr>
      <w:rPr>
        <w:rFonts w:ascii="OpenSymbol" w:hAnsi="OpenSymbol" w:cs="OpenSymbol" w:hint="default"/>
        <w:u w:val="none"/>
      </w:rPr>
    </w:lvl>
    <w:lvl w:ilvl="3">
      <w:start w:val="1"/>
      <w:numFmt w:val="bullet"/>
      <w:lvlText w:val="-"/>
      <w:lvlJc w:val="left"/>
      <w:pPr>
        <w:ind w:left="2880" w:hanging="360"/>
      </w:pPr>
      <w:rPr>
        <w:rFonts w:ascii="OpenSymbol" w:hAnsi="OpenSymbol" w:cs="OpenSymbol" w:hint="default"/>
        <w:u w:val="none"/>
      </w:rPr>
    </w:lvl>
    <w:lvl w:ilvl="4">
      <w:start w:val="1"/>
      <w:numFmt w:val="bullet"/>
      <w:lvlText w:val="-"/>
      <w:lvlJc w:val="left"/>
      <w:pPr>
        <w:ind w:left="3600" w:hanging="360"/>
      </w:pPr>
      <w:rPr>
        <w:rFonts w:ascii="OpenSymbol" w:hAnsi="OpenSymbol" w:cs="OpenSymbol" w:hint="default"/>
        <w:u w:val="none"/>
      </w:rPr>
    </w:lvl>
    <w:lvl w:ilvl="5">
      <w:start w:val="1"/>
      <w:numFmt w:val="bullet"/>
      <w:lvlText w:val="-"/>
      <w:lvlJc w:val="left"/>
      <w:pPr>
        <w:ind w:left="4320" w:hanging="360"/>
      </w:pPr>
      <w:rPr>
        <w:rFonts w:ascii="OpenSymbol" w:hAnsi="OpenSymbol" w:cs="OpenSymbol" w:hint="default"/>
        <w:u w:val="none"/>
      </w:rPr>
    </w:lvl>
    <w:lvl w:ilvl="6">
      <w:start w:val="1"/>
      <w:numFmt w:val="bullet"/>
      <w:lvlText w:val="-"/>
      <w:lvlJc w:val="left"/>
      <w:pPr>
        <w:ind w:left="5040" w:hanging="360"/>
      </w:pPr>
      <w:rPr>
        <w:rFonts w:ascii="OpenSymbol" w:hAnsi="OpenSymbol" w:cs="OpenSymbol" w:hint="default"/>
        <w:u w:val="none"/>
      </w:rPr>
    </w:lvl>
    <w:lvl w:ilvl="7">
      <w:start w:val="1"/>
      <w:numFmt w:val="bullet"/>
      <w:lvlText w:val="-"/>
      <w:lvlJc w:val="left"/>
      <w:pPr>
        <w:ind w:left="5760" w:hanging="360"/>
      </w:pPr>
      <w:rPr>
        <w:rFonts w:ascii="OpenSymbol" w:hAnsi="OpenSymbol" w:cs="OpenSymbol" w:hint="default"/>
        <w:u w:val="none"/>
      </w:rPr>
    </w:lvl>
    <w:lvl w:ilvl="8">
      <w:start w:val="1"/>
      <w:numFmt w:val="bullet"/>
      <w:lvlText w:val="-"/>
      <w:lvlJc w:val="left"/>
      <w:pPr>
        <w:ind w:left="6480" w:hanging="360"/>
      </w:pPr>
      <w:rPr>
        <w:rFonts w:ascii="OpenSymbol" w:hAnsi="OpenSymbol" w:cs="OpenSymbol" w:hint="default"/>
        <w:u w:val="none"/>
      </w:rPr>
    </w:lvl>
  </w:abstractNum>
  <w:abstractNum w:abstractNumId="2">
    <w:lvl w:ilvl="0">
      <w:start w:val="1"/>
      <w:numFmt w:val="upperLetter"/>
      <w:lvlText w:val="%1."/>
      <w:lvlJc w:val="left"/>
      <w:pPr>
        <w:ind w:left="720" w:hanging="360"/>
      </w:pPr>
      <w:rPr>
        <w:sz w:val="22"/>
        <w:b/>
        <w:rFonts w:ascii="Noto Sans" w:hAnsi="Noto Sans"/>
        <w:color w:val="auto"/>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 w:numId="3">
    <w:abstractNumId w:val="3"/>
  </w:num>
</w:numbering>
</file>

<file path=word/settings.xml><?xml version="1.0" encoding="utf-8"?>
<w:settings xmlns:w="http://schemas.openxmlformats.org/wordprocessingml/2006/main">
  <w:zoom w:percent="140"/>
  <w:embedTrueTypeFonts/>
  <w:defaultTabStop w:val="720"/>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themeFontLang w:val="es-ES"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Calibri"/>
        <w:lang w:val="ca-ES" w:eastAsia="ca-ES" w:bidi="ar-SA"/>
      </w:rPr>
    </w:rPrDefault>
    <w:pPrDefault>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10ffe"/>
    <w:pPr>
      <w:widowControl/>
      <w:bidi w:val="0"/>
      <w:spacing w:lineRule="auto" w:line="276" w:before="0" w:after="200"/>
      <w:jc w:val="both"/>
    </w:pPr>
    <w:rPr>
      <w:rFonts w:ascii="Calibri" w:hAnsi="Calibri" w:eastAsia="Calibri" w:cs="Calibri"/>
      <w:color w:val="auto"/>
      <w:kern w:val="0"/>
      <w:sz w:val="20"/>
      <w:szCs w:val="20"/>
      <w:lang w:val="ca-ES" w:eastAsia="ca-ES" w:bidi="ar-SA"/>
    </w:rPr>
  </w:style>
  <w:style w:type="paragraph" w:styleId="Encapalament1">
    <w:name w:val="Heading 1"/>
    <w:basedOn w:val="Normal"/>
    <w:next w:val="Normal"/>
    <w:uiPriority w:val="9"/>
    <w:qFormat/>
    <w:rsid w:val="00010ffe"/>
    <w:pPr>
      <w:pBdr/>
      <w:spacing w:before="300" w:after="40"/>
      <w:jc w:val="left"/>
      <w:outlineLvl w:val="0"/>
    </w:pPr>
    <w:rPr>
      <w:smallCaps/>
      <w:color w:val="000000"/>
      <w:sz w:val="32"/>
      <w:szCs w:val="32"/>
    </w:rPr>
  </w:style>
  <w:style w:type="paragraph" w:styleId="Encapalament2">
    <w:name w:val="Heading 2"/>
    <w:basedOn w:val="Normal"/>
    <w:next w:val="Normal"/>
    <w:uiPriority w:val="9"/>
    <w:semiHidden/>
    <w:unhideWhenUsed/>
    <w:qFormat/>
    <w:rsid w:val="00010ffe"/>
    <w:pPr>
      <w:pBdr/>
      <w:spacing w:before="240" w:after="80"/>
      <w:jc w:val="left"/>
      <w:outlineLvl w:val="1"/>
    </w:pPr>
    <w:rPr>
      <w:smallCaps/>
      <w:color w:val="000000"/>
      <w:sz w:val="28"/>
      <w:szCs w:val="28"/>
    </w:rPr>
  </w:style>
  <w:style w:type="paragraph" w:styleId="Encapalament3">
    <w:name w:val="Heading 3"/>
    <w:basedOn w:val="Normal"/>
    <w:next w:val="Normal"/>
    <w:uiPriority w:val="9"/>
    <w:semiHidden/>
    <w:unhideWhenUsed/>
    <w:qFormat/>
    <w:rsid w:val="00010ffe"/>
    <w:pPr>
      <w:pBdr/>
      <w:spacing w:before="0" w:after="0"/>
      <w:jc w:val="left"/>
      <w:outlineLvl w:val="2"/>
    </w:pPr>
    <w:rPr>
      <w:smallCaps/>
      <w:color w:val="000000"/>
      <w:sz w:val="24"/>
      <w:szCs w:val="24"/>
    </w:rPr>
  </w:style>
  <w:style w:type="paragraph" w:styleId="Encapalament4">
    <w:name w:val="Heading 4"/>
    <w:basedOn w:val="Normal"/>
    <w:next w:val="Normal"/>
    <w:uiPriority w:val="9"/>
    <w:semiHidden/>
    <w:unhideWhenUsed/>
    <w:qFormat/>
    <w:rsid w:val="00010ffe"/>
    <w:pPr>
      <w:pBdr/>
      <w:spacing w:before="240" w:after="0"/>
      <w:jc w:val="left"/>
      <w:outlineLvl w:val="3"/>
    </w:pPr>
    <w:rPr>
      <w:smallCaps/>
      <w:color w:val="000000"/>
      <w:sz w:val="22"/>
      <w:szCs w:val="22"/>
    </w:rPr>
  </w:style>
  <w:style w:type="paragraph" w:styleId="Encapalament5">
    <w:name w:val="Heading 5"/>
    <w:basedOn w:val="Normal"/>
    <w:next w:val="Normal"/>
    <w:uiPriority w:val="9"/>
    <w:semiHidden/>
    <w:unhideWhenUsed/>
    <w:qFormat/>
    <w:rsid w:val="00010ffe"/>
    <w:pPr>
      <w:pBdr/>
      <w:spacing w:before="200" w:after="0"/>
      <w:jc w:val="left"/>
      <w:outlineLvl w:val="4"/>
    </w:pPr>
    <w:rPr>
      <w:smallCaps/>
      <w:color w:val="C45911"/>
      <w:sz w:val="22"/>
      <w:szCs w:val="22"/>
    </w:rPr>
  </w:style>
  <w:style w:type="paragraph" w:styleId="Encapalament6">
    <w:name w:val="Heading 6"/>
    <w:basedOn w:val="Normal"/>
    <w:next w:val="Normal"/>
    <w:uiPriority w:val="9"/>
    <w:semiHidden/>
    <w:unhideWhenUsed/>
    <w:qFormat/>
    <w:rsid w:val="00010ffe"/>
    <w:pPr>
      <w:pBdr/>
      <w:spacing w:before="0" w:after="0"/>
      <w:jc w:val="left"/>
      <w:outlineLvl w:val="5"/>
    </w:pPr>
    <w:rPr>
      <w:smallCaps/>
      <w:color w:val="ED7D31"/>
      <w:sz w:val="22"/>
      <w:szCs w:val="22"/>
    </w:rPr>
  </w:style>
  <w:style w:type="character" w:styleId="DefaultParagraphFont" w:default="1">
    <w:name w:val="Default Paragraph Font"/>
    <w:uiPriority w:val="1"/>
    <w:semiHidden/>
    <w:unhideWhenUsed/>
    <w:qFormat/>
    <w:rPr/>
  </w:style>
  <w:style w:type="character" w:styleId="TextocomentarioCar" w:customStyle="1">
    <w:name w:val="Texto comentario Car"/>
    <w:basedOn w:val="DefaultParagraphFont"/>
    <w:link w:val="Textocomentario"/>
    <w:uiPriority w:val="99"/>
    <w:semiHidden/>
    <w:qFormat/>
    <w:rsid w:val="00010ffe"/>
    <w:rPr/>
  </w:style>
  <w:style w:type="character" w:styleId="Annotationreference">
    <w:name w:val="annotation reference"/>
    <w:basedOn w:val="DefaultParagraphFont"/>
    <w:uiPriority w:val="99"/>
    <w:semiHidden/>
    <w:unhideWhenUsed/>
    <w:qFormat/>
    <w:rsid w:val="00010ffe"/>
    <w:rPr>
      <w:sz w:val="16"/>
      <w:szCs w:val="16"/>
    </w:rPr>
  </w:style>
  <w:style w:type="character" w:styleId="EncabezadoCar" w:customStyle="1">
    <w:name w:val="Encabezado Car"/>
    <w:basedOn w:val="DefaultParagraphFont"/>
    <w:link w:val="Encabezado"/>
    <w:uiPriority w:val="99"/>
    <w:qFormat/>
    <w:rsid w:val="009d43ee"/>
    <w:rPr/>
  </w:style>
  <w:style w:type="character" w:styleId="PiedepginaCar" w:customStyle="1">
    <w:name w:val="Pie de página Car"/>
    <w:basedOn w:val="DefaultParagraphFont"/>
    <w:link w:val="Piedepgina"/>
    <w:uiPriority w:val="99"/>
    <w:qFormat/>
    <w:rsid w:val="009d43ee"/>
    <w:rPr/>
  </w:style>
  <w:style w:type="character" w:styleId="ListLabel1">
    <w:name w:val="ListLabel 1"/>
    <w:qFormat/>
    <w:rPr>
      <w:rFonts w:ascii="Noto Sans" w:hAnsi="Noto Sans"/>
      <w:b/>
      <w:sz w:val="22"/>
      <w:u w:val="none"/>
    </w:rPr>
  </w:style>
  <w:style w:type="character" w:styleId="ListLabel2">
    <w:name w:val="ListLabel 2"/>
    <w:qFormat/>
    <w:rPr>
      <w:u w:val="none"/>
    </w:rPr>
  </w:style>
  <w:style w:type="character" w:styleId="ListLabel3">
    <w:name w:val="ListLabel 3"/>
    <w:qFormat/>
    <w:rPr>
      <w:u w:val="none"/>
    </w:rPr>
  </w:style>
  <w:style w:type="character" w:styleId="ListLabel4">
    <w:name w:val="ListLabel 4"/>
    <w:qFormat/>
    <w:rPr>
      <w:u w:val="none"/>
    </w:rPr>
  </w:style>
  <w:style w:type="character" w:styleId="ListLabel5">
    <w:name w:val="ListLabel 5"/>
    <w:qFormat/>
    <w:rPr>
      <w:u w:val="none"/>
    </w:rPr>
  </w:style>
  <w:style w:type="character" w:styleId="ListLabel6">
    <w:name w:val="ListLabel 6"/>
    <w:qFormat/>
    <w:rPr>
      <w:u w:val="none"/>
    </w:rPr>
  </w:style>
  <w:style w:type="character" w:styleId="ListLabel7">
    <w:name w:val="ListLabel 7"/>
    <w:qFormat/>
    <w:rPr>
      <w:u w:val="none"/>
    </w:rPr>
  </w:style>
  <w:style w:type="character" w:styleId="ListLabel8">
    <w:name w:val="ListLabel 8"/>
    <w:qFormat/>
    <w:rPr>
      <w:u w:val="none"/>
    </w:rPr>
  </w:style>
  <w:style w:type="character" w:styleId="ListLabel9">
    <w:name w:val="ListLabel 9"/>
    <w:qFormat/>
    <w:rPr>
      <w:u w:val="none"/>
    </w:rPr>
  </w:style>
  <w:style w:type="character" w:styleId="ListLabel10">
    <w:name w:val="ListLabel 10"/>
    <w:qFormat/>
    <w:rPr>
      <w:rFonts w:eastAsia="Noto Sans" w:cs="Noto Sans"/>
      <w:sz w:val="22"/>
      <w:szCs w:val="22"/>
    </w:rPr>
  </w:style>
  <w:style w:type="character" w:styleId="ListLabel11">
    <w:name w:val="ListLabel 11"/>
    <w:qFormat/>
    <w:rPr>
      <w:rFonts w:ascii="Noto Sans" w:hAnsi="Noto Sans"/>
      <w:b/>
      <w:color w:val="auto"/>
      <w:sz w:val="22"/>
    </w:rPr>
  </w:style>
  <w:style w:type="character" w:styleId="ListLabel12">
    <w:name w:val="ListLabel 12"/>
    <w:qFormat/>
    <w:rPr>
      <w:rFonts w:ascii="Noto Sans" w:hAnsi="Noto Sans" w:eastAsia="Noto Sans" w:cs="Noto Sans"/>
      <w:sz w:val="22"/>
      <w:szCs w:val="22"/>
    </w:rPr>
  </w:style>
  <w:style w:type="character" w:styleId="EnlladInternet">
    <w:name w:val="Enllaç d'Internet"/>
    <w:rPr>
      <w:color w:val="000080"/>
      <w:u w:val="single"/>
      <w:lang w:val="zxx" w:eastAsia="zxx" w:bidi="zxx"/>
    </w:rPr>
  </w:style>
  <w:style w:type="paragraph" w:styleId="Encapalament">
    <w:name w:val="Encapçalament"/>
    <w:basedOn w:val="Normal"/>
    <w:next w:val="Cosdeltext"/>
    <w:qFormat/>
    <w:pPr>
      <w:keepNext w:val="true"/>
      <w:spacing w:before="240" w:after="120"/>
    </w:pPr>
    <w:rPr>
      <w:rFonts w:ascii="Liberation Sans" w:hAnsi="Liberation Sans" w:eastAsia="Microsoft YaHei" w:cs="Arial"/>
      <w:sz w:val="28"/>
      <w:szCs w:val="28"/>
    </w:rPr>
  </w:style>
  <w:style w:type="paragraph" w:styleId="Cosdeltext">
    <w:name w:val="Body Text"/>
    <w:basedOn w:val="Normal"/>
    <w:pPr>
      <w:spacing w:lineRule="auto" w:line="276" w:before="0" w:after="140"/>
    </w:pPr>
    <w:rPr/>
  </w:style>
  <w:style w:type="paragraph" w:styleId="Llista">
    <w:name w:val="List"/>
    <w:basedOn w:val="Cosdeltext"/>
    <w:pPr/>
    <w:rPr>
      <w:rFonts w:cs="Arial"/>
    </w:rPr>
  </w:style>
  <w:style w:type="paragraph" w:styleId="Llegenda">
    <w:name w:val="Caption"/>
    <w:basedOn w:val="Normal"/>
    <w:qFormat/>
    <w:pPr>
      <w:suppressLineNumbers/>
      <w:spacing w:before="120" w:after="120"/>
    </w:pPr>
    <w:rPr>
      <w:rFonts w:cs="Arial"/>
      <w:i/>
      <w:iCs/>
      <w:sz w:val="24"/>
      <w:szCs w:val="24"/>
    </w:rPr>
  </w:style>
  <w:style w:type="paragraph" w:styleId="Ndex">
    <w:name w:val="Índex"/>
    <w:basedOn w:val="Normal"/>
    <w:qFormat/>
    <w:pPr>
      <w:suppressLineNumbers/>
    </w:pPr>
    <w:rPr>
      <w:rFonts w:cs="Arial"/>
    </w:rPr>
  </w:style>
  <w:style w:type="paragraph" w:styleId="Ttol">
    <w:name w:val="Title"/>
    <w:basedOn w:val="Normal"/>
    <w:next w:val="Normal"/>
    <w:uiPriority w:val="10"/>
    <w:qFormat/>
    <w:rsid w:val="00010ffe"/>
    <w:pPr>
      <w:keepNext w:val="true"/>
      <w:keepLines/>
      <w:spacing w:before="480" w:after="120"/>
    </w:pPr>
    <w:rPr>
      <w:b/>
      <w:sz w:val="72"/>
      <w:szCs w:val="72"/>
    </w:rPr>
  </w:style>
  <w:style w:type="paragraph" w:styleId="Subttol">
    <w:name w:val="Subtitle"/>
    <w:basedOn w:val="Normal"/>
    <w:next w:val="Normal"/>
    <w:uiPriority w:val="11"/>
    <w:qFormat/>
    <w:rsid w:val="00010ffe"/>
    <w:pPr>
      <w:pBdr/>
      <w:spacing w:lineRule="auto" w:line="240" w:before="0" w:after="720"/>
      <w:jc w:val="right"/>
    </w:pPr>
    <w:rPr>
      <w:color w:val="000000"/>
    </w:rPr>
  </w:style>
  <w:style w:type="paragraph" w:styleId="Annotationtext">
    <w:name w:val="annotation text"/>
    <w:basedOn w:val="Normal"/>
    <w:link w:val="TextocomentarioCar"/>
    <w:uiPriority w:val="99"/>
    <w:semiHidden/>
    <w:unhideWhenUsed/>
    <w:qFormat/>
    <w:rsid w:val="00010ffe"/>
    <w:pPr>
      <w:spacing w:lineRule="auto" w:line="240"/>
    </w:pPr>
    <w:rPr/>
  </w:style>
  <w:style w:type="paragraph" w:styleId="ListParagraph">
    <w:name w:val="List Paragraph"/>
    <w:basedOn w:val="Normal"/>
    <w:uiPriority w:val="34"/>
    <w:qFormat/>
    <w:rsid w:val="005247eb"/>
    <w:pPr>
      <w:spacing w:before="0" w:after="200"/>
      <w:ind w:left="720" w:hanging="0"/>
      <w:contextualSpacing/>
    </w:pPr>
    <w:rPr/>
  </w:style>
  <w:style w:type="paragraph" w:styleId="Capalera">
    <w:name w:val="Header"/>
    <w:basedOn w:val="Normal"/>
    <w:link w:val="EncabezadoCar"/>
    <w:uiPriority w:val="99"/>
    <w:unhideWhenUsed/>
    <w:rsid w:val="009d43ee"/>
    <w:pPr>
      <w:tabs>
        <w:tab w:val="clear" w:pos="720"/>
        <w:tab w:val="center" w:pos="4252" w:leader="none"/>
        <w:tab w:val="right" w:pos="8504" w:leader="none"/>
      </w:tabs>
      <w:spacing w:lineRule="auto" w:line="240" w:before="0" w:after="0"/>
    </w:pPr>
    <w:rPr/>
  </w:style>
  <w:style w:type="paragraph" w:styleId="Peudepgina">
    <w:name w:val="Footer"/>
    <w:basedOn w:val="Normal"/>
    <w:link w:val="PiedepginaCar"/>
    <w:uiPriority w:val="99"/>
    <w:unhideWhenUsed/>
    <w:rsid w:val="009d43ee"/>
    <w:pPr>
      <w:tabs>
        <w:tab w:val="clear" w:pos="720"/>
        <w:tab w:val="center" w:pos="4252" w:leader="none"/>
        <w:tab w:val="right" w:pos="8504" w:leader="none"/>
      </w:tabs>
      <w:spacing w:lineRule="auto" w:line="240" w:before="0" w:after="0"/>
    </w:pPr>
    <w:rPr/>
  </w:style>
  <w:style w:type="numbering" w:styleId="NoList" w:default="1">
    <w:name w:val="No List"/>
    <w:uiPriority w:val="99"/>
    <w:semiHidden/>
    <w:unhideWhenUsed/>
    <w:qFormat/>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table" w:customStyle="1" w:styleId="TableNormal">
    <w:name w:val="Table Normal"/>
    <w:rsid w:val="00010ffe"/>
    <w:tblPr>
      <w:tblCellMar>
        <w:top w:w="0" w:type="dxa"/>
        <w:left w:w="0" w:type="dxa"/>
        <w:bottom w:w="0" w:type="dxa"/>
        <w:right w:w="0" w:type="dxa"/>
      </w:tblCellMar>
    </w:tblPr>
  </w:style>
  <w:style w:type="table" w:styleId="Tablaconcuadrcula">
    <w:name w:val="Table Grid"/>
    <w:basedOn w:val="Tablanormal"/>
    <w:uiPriority w:val="39"/>
    <w:rsid w:val="005247eb"/>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yperlink" Target="https://die.caib.es/normativa/pdf/06/2006_LOE.pdf" TargetMode="External"/><Relationship Id="rId3" Type="http://schemas.openxmlformats.org/officeDocument/2006/relationships/hyperlink" Target="https://die.caib.es/normativa/pdf/06/2006_LOE.pdf" TargetMode="External"/><Relationship Id="rId4" Type="http://schemas.openxmlformats.org/officeDocument/2006/relationships/hyperlink" Target="https://www.boe.es/eli/es/lo/2020/12/29/3" TargetMode="External"/><Relationship Id="rId5" Type="http://schemas.openxmlformats.org/officeDocument/2006/relationships/hyperlink" Target="https://www.boe.es/buscar/act.php?id=BOE-A-2006-7899" TargetMode="External"/><Relationship Id="rId6" Type="http://schemas.openxmlformats.org/officeDocument/2006/relationships/hyperlink" Target="https://www.boe.es/buscar/act.php?id=BOE-A-2006-7899" TargetMode="External"/><Relationship Id="rId7" Type="http://schemas.openxmlformats.org/officeDocument/2006/relationships/header" Target="header1.xml"/><Relationship Id="rId8" Type="http://schemas.openxmlformats.org/officeDocument/2006/relationships/footer" Target="footer1.xml"/><Relationship Id="rId9" Type="http://schemas.openxmlformats.org/officeDocument/2006/relationships/header" Target="header2.xml"/><Relationship Id="rId10" Type="http://schemas.openxmlformats.org/officeDocument/2006/relationships/footer" Target="footer2.xml"/><Relationship Id="rId11" Type="http://schemas.openxmlformats.org/officeDocument/2006/relationships/numbering" Target="numbering.xml"/><Relationship Id="rId12" Type="http://schemas.openxmlformats.org/officeDocument/2006/relationships/fontTable" Target="fontTable.xml"/><Relationship Id="rId13" Type="http://schemas.openxmlformats.org/officeDocument/2006/relationships/settings" Target="settings.xml"/><Relationship Id="rId14" Type="http://schemas.openxmlformats.org/officeDocument/2006/relationships/theme" Target="theme/theme1.xml"/><Relationship Id="rId15" Type="http://schemas.openxmlformats.org/officeDocument/2006/relationships/customXml" Target="../customXml/item1.xml"/>
</Relationships>
</file>

<file path=word/_rels/fontTable.xml.rels><?xml version="1.0" encoding="UTF-8"?>
<Relationships xmlns="http://schemas.openxmlformats.org/package/2006/relationships"><Relationship Id="rId1" Type="http://schemas.openxmlformats.org/officeDocument/2006/relationships/font" Target="fonts/font1.odttf"/><Relationship Id="rId2" Type="http://schemas.openxmlformats.org/officeDocument/2006/relationships/font" Target="fonts/font2.odttf"/><Relationship Id="rId3" Type="http://schemas.openxmlformats.org/officeDocument/2006/relationships/font" Target="fonts/font3.odttf"/><Relationship Id="rId4" Type="http://schemas.openxmlformats.org/officeDocument/2006/relationships/font" Target="fonts/font4.odttf"/><Relationship Id="rId5" Type="http://schemas.openxmlformats.org/officeDocument/2006/relationships/font" Target="fonts/font5.odttf"/><Relationship Id="rId6" Type="http://schemas.openxmlformats.org/officeDocument/2006/relationships/font" Target="fonts/font6.odttf"/><Relationship Id="rId7" Type="http://schemas.openxmlformats.org/officeDocument/2006/relationships/font" Target="fonts/font7.odttf"/><Relationship Id="rId8" Type="http://schemas.openxmlformats.org/officeDocument/2006/relationships/font" Target="fonts/font8.odttf"/><Relationship Id="rId9" Type="http://schemas.openxmlformats.org/officeDocument/2006/relationships/font" Target="fonts/font9.odttf"/><Relationship Id="rId10" Type="http://schemas.openxmlformats.org/officeDocument/2006/relationships/font" Target="fonts/font10.odttf"/><Relationship Id="rId11" Type="http://schemas.openxmlformats.org/officeDocument/2006/relationships/font" Target="fonts/font11.odttf"/><Relationship Id="rId12" Type="http://schemas.openxmlformats.org/officeDocument/2006/relationships/font" Target="fonts/font12.odttf"/><Relationship Id="rId13" Type="http://schemas.openxmlformats.org/officeDocument/2006/relationships/font" Target="fonts/font13.odttf"/><Relationship Id="rId14" Type="http://schemas.openxmlformats.org/officeDocument/2006/relationships/font" Target="fonts/font14.odttf"/><Relationship Id="rId15" Type="http://schemas.openxmlformats.org/officeDocument/2006/relationships/font" Target="fonts/font15.odttf"/><Relationship Id="rId16" Type="http://schemas.openxmlformats.org/officeDocument/2006/relationships/font" Target="fonts/font16.odttf"/><Relationship Id="rId17" Type="http://schemas.openxmlformats.org/officeDocument/2006/relationships/font" Target="fonts/font17.odttf"/><Relationship Id="rId18" Type="http://schemas.openxmlformats.org/officeDocument/2006/relationships/font" Target="fonts/font18.odttf"/>
</Relationships>
</file>

<file path=word/_rels/header1.xml.rels><?xml version="1.0" encoding="UTF-8"?>
<Relationships xmlns="http://schemas.openxmlformats.org/package/2006/relationships"><Relationship Id="rId1" Type="http://schemas.openxmlformats.org/officeDocument/2006/relationships/image" Target="media/image1.jpeg"/>
</Relationships>
</file>

<file path=word/_rels/header2.xml.rels><?xml version="1.0" encoding="UTF-8"?>
<Relationships xmlns="http://schemas.openxmlformats.org/package/2006/relationships"><Relationship Id="rId1" Type="http://schemas.openxmlformats.org/officeDocument/2006/relationships/image" Target="media/image2.jpe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CE511AC-177E-4B5D-A4C0-F3959971B3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37</TotalTime>
  <Application>LibreOffice/6.1.5.2$Windows_x86 LibreOffice_project/90f8dcf33c87b3705e78202e3df5142b201bd805</Application>
  <Pages>15</Pages>
  <Words>3136</Words>
  <Characters>17235</Characters>
  <CharactersWithSpaces>20338</CharactersWithSpaces>
  <Paragraphs>160</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2024-12-02T17:40:00Z</dcterms:created>
  <dc:creator>Usuario</dc:creator>
  <dc:description/>
  <dc:language>es-ES</dc:language>
  <cp:lastModifiedBy/>
  <cp:lastPrinted>2024-12-05T12:05:24Z</cp:lastPrinted>
  <dcterms:modified xsi:type="dcterms:W3CDTF">2024-12-05T12:05:41Z</dcterms:modified>
  <cp:revision>5</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ies>
</file>