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23BE" w:rsidRDefault="000F23BE" w:rsidP="000F23BE">
      <w:pPr>
        <w:pStyle w:val="Ttulo2"/>
        <w:rPr>
          <w:rFonts w:eastAsia="Calibri"/>
          <w:lang w:val="es-ES_tradnl"/>
        </w:rPr>
      </w:pPr>
      <w:bookmarkStart w:id="0" w:name="Anexo11"/>
      <w:bookmarkStart w:id="1" w:name="_Toc132619386"/>
      <w:bookmarkStart w:id="2" w:name="_GoBack"/>
      <w:bookmarkEnd w:id="2"/>
      <w:r>
        <w:rPr>
          <w:rFonts w:eastAsia="Calibri"/>
          <w:lang w:val="es-ES_tradnl"/>
        </w:rPr>
        <w:t>Guía de elaboración de un protocolo de estudio clínico de investigación</w:t>
      </w:r>
      <w:bookmarkEnd w:id="0"/>
      <w:bookmarkEnd w:id="1"/>
    </w:p>
    <w:p w:rsidR="000F23BE" w:rsidRDefault="000F23BE" w:rsidP="000F23BE">
      <w:pPr>
        <w:spacing w:before="120" w:after="120" w:line="240" w:lineRule="auto"/>
        <w:rPr>
          <w:rFonts w:ascii="Noto Sans" w:hAnsi="Noto Sans" w:cs="Noto Sans"/>
          <w:sz w:val="22"/>
          <w:lang w:val="es-ES_tradnl"/>
        </w:rPr>
      </w:pPr>
      <w:r>
        <w:rPr>
          <w:rStyle w:val="Fuentedeprrafopredeter1"/>
          <w:rFonts w:ascii="Noto Sans" w:hAnsi="Noto Sans" w:cs="Noto Sans"/>
          <w:sz w:val="22"/>
          <w:lang w:val="es-ES_tradnl"/>
        </w:rPr>
        <w:t>A continuación, como apoyo a los investigadores y promotores, se detallan los apartados que debiera contener un protocolo de investigación para su evaluación e informe por parte de un comité de ética de investigación (CEI). Estos apartados deberán adaptarse a cada caso concreto, dependiendo del diseño elegido (observacional o experimental).</w:t>
      </w:r>
    </w:p>
    <w:p w:rsidR="000F23BE" w:rsidRDefault="000F23BE" w:rsidP="000F23BE">
      <w:pPr>
        <w:numPr>
          <w:ilvl w:val="0"/>
          <w:numId w:val="1"/>
        </w:numPr>
        <w:spacing w:before="120" w:after="120" w:line="240" w:lineRule="auto"/>
        <w:textAlignment w:val="baseline"/>
        <w:rPr>
          <w:rFonts w:ascii="Noto Sans" w:hAnsi="Noto Sans" w:cs="Noto Sans"/>
          <w:sz w:val="22"/>
          <w:lang w:val="es-ES_tradnl"/>
        </w:rPr>
      </w:pPr>
      <w:r>
        <w:rPr>
          <w:rStyle w:val="Fuentedeprrafopredeter1"/>
          <w:rFonts w:ascii="Noto Sans" w:hAnsi="Noto Sans" w:cs="Noto Sans"/>
          <w:sz w:val="22"/>
          <w:lang w:val="es-ES_tradnl"/>
        </w:rPr>
        <w:t xml:space="preserve">Para el caso de los </w:t>
      </w:r>
      <w:r>
        <w:rPr>
          <w:rStyle w:val="Fuentedeprrafopredeter1"/>
          <w:rFonts w:ascii="Noto Sans" w:hAnsi="Noto Sans" w:cs="Noto Sans"/>
          <w:b/>
          <w:bCs/>
          <w:sz w:val="22"/>
          <w:lang w:val="es-ES_tradnl"/>
        </w:rPr>
        <w:t>ensayos clínicos con medicamentos o productos sanitarios</w:t>
      </w:r>
      <w:r>
        <w:rPr>
          <w:rStyle w:val="Fuentedeprrafopredeter1"/>
          <w:rFonts w:ascii="Noto Sans" w:hAnsi="Noto Sans" w:cs="Noto Sans"/>
          <w:sz w:val="22"/>
          <w:lang w:val="es-ES_tradnl"/>
        </w:rPr>
        <w:t xml:space="preserve">, el protocolo deberá seguir la estructura indicada en el anexo I (punto D) del </w:t>
      </w:r>
      <w:hyperlink r:id="rId5">
        <w:r>
          <w:rPr>
            <w:rStyle w:val="EnlladInternet"/>
            <w:rFonts w:ascii="Noto Sans" w:hAnsi="Noto Sans" w:cs="Noto Sans"/>
            <w:sz w:val="22"/>
            <w:lang w:val="es-ES_tradnl"/>
          </w:rPr>
          <w:t>Reglamento (UE) no 536/2014 del Parlamento Europeo y del Consejo de 16 de abril de 2014 sobre los ensayos clínicos de medicamentos de uso humano, y por el que se deroga la Directiva 2001/20/CE</w:t>
        </w:r>
      </w:hyperlink>
      <w:r>
        <w:rPr>
          <w:rStyle w:val="Fuentedeprrafopredeter1"/>
          <w:rFonts w:ascii="Noto Sans" w:hAnsi="Noto Sans" w:cs="Noto Sans"/>
          <w:sz w:val="22"/>
          <w:lang w:val="es-ES_tradnl"/>
        </w:rPr>
        <w:t>.</w:t>
      </w:r>
    </w:p>
    <w:p w:rsidR="000F23BE" w:rsidRDefault="000F23BE" w:rsidP="000F23BE">
      <w:pPr>
        <w:numPr>
          <w:ilvl w:val="0"/>
          <w:numId w:val="1"/>
        </w:numPr>
        <w:spacing w:before="120" w:after="120" w:line="240" w:lineRule="auto"/>
        <w:textAlignment w:val="baseline"/>
        <w:rPr>
          <w:rFonts w:ascii="Noto Sans" w:hAnsi="Noto Sans" w:cs="Noto Sans"/>
          <w:sz w:val="22"/>
          <w:lang w:val="es-ES_tradnl"/>
        </w:rPr>
      </w:pPr>
      <w:r>
        <w:rPr>
          <w:rStyle w:val="Fuentedeprrafopredeter1"/>
          <w:rFonts w:ascii="Noto Sans" w:hAnsi="Noto Sans" w:cs="Noto Sans"/>
          <w:sz w:val="22"/>
          <w:lang w:val="es-ES_tradnl"/>
        </w:rPr>
        <w:t xml:space="preserve">Para el caso de los </w:t>
      </w:r>
      <w:r>
        <w:rPr>
          <w:rStyle w:val="Fuentedeprrafopredeter1"/>
          <w:rFonts w:ascii="Noto Sans" w:hAnsi="Noto Sans" w:cs="Noto Sans"/>
          <w:b/>
          <w:bCs/>
          <w:sz w:val="22"/>
          <w:lang w:val="es-ES_tradnl"/>
        </w:rPr>
        <w:t>estudios observacionales con medicamentos</w:t>
      </w:r>
      <w:r>
        <w:rPr>
          <w:rStyle w:val="Fuentedeprrafopredeter1"/>
          <w:rFonts w:ascii="Noto Sans" w:hAnsi="Noto Sans" w:cs="Noto Sans"/>
          <w:sz w:val="22"/>
          <w:lang w:val="es-ES_tradnl"/>
        </w:rPr>
        <w:t xml:space="preserve">, el protocolo deberá seguir la estructura indicada en el anexo I del </w:t>
      </w:r>
      <w:hyperlink r:id="rId6">
        <w:r>
          <w:rPr>
            <w:rStyle w:val="EnlladInternet"/>
            <w:rFonts w:ascii="Noto Sans" w:hAnsi="Noto Sans" w:cs="Noto Sans"/>
            <w:sz w:val="22"/>
            <w:lang w:val="es-ES_tradnl"/>
          </w:rPr>
          <w:t>Real Decreto 957/2020, de 3 de noviembre, por el que se regulan los estudios observacionales con medicamentos de uso humano</w:t>
        </w:r>
      </w:hyperlink>
      <w:r>
        <w:rPr>
          <w:rStyle w:val="Fuentedeprrafopredeter1"/>
          <w:rFonts w:ascii="Noto Sans" w:hAnsi="Noto Sans" w:cs="Noto Sans"/>
          <w:sz w:val="22"/>
          <w:lang w:val="es-ES_tradnl"/>
        </w:rPr>
        <w:t>.</w:t>
      </w:r>
    </w:p>
    <w:p w:rsidR="000F23BE" w:rsidRDefault="000F23BE" w:rsidP="000F23BE">
      <w:pPr>
        <w:numPr>
          <w:ilvl w:val="0"/>
          <w:numId w:val="1"/>
        </w:numPr>
        <w:spacing w:before="120" w:after="120" w:line="240" w:lineRule="auto"/>
        <w:textAlignment w:val="baseline"/>
        <w:rPr>
          <w:rStyle w:val="Fuentedeprrafopredeter1"/>
          <w:rFonts w:ascii="Noto Sans" w:hAnsi="Noto Sans" w:cs="Noto Sans"/>
          <w:sz w:val="22"/>
          <w:lang w:val="es-ES_tradnl"/>
        </w:rPr>
      </w:pPr>
      <w:r>
        <w:rPr>
          <w:rStyle w:val="Fuentedeprrafopredeter1"/>
          <w:rFonts w:ascii="Noto Sans" w:hAnsi="Noto Sans" w:cs="Noto Sans"/>
          <w:sz w:val="22"/>
          <w:lang w:val="es-ES_tradnl"/>
        </w:rPr>
        <w:t xml:space="preserve">Para </w:t>
      </w:r>
      <w:r>
        <w:rPr>
          <w:rStyle w:val="Fuentedeprrafopredeter1"/>
          <w:rFonts w:ascii="Noto Sans" w:hAnsi="Noto Sans" w:cs="Noto Sans"/>
          <w:b/>
          <w:sz w:val="22"/>
          <w:lang w:val="es-ES_tradnl"/>
        </w:rPr>
        <w:t>otros estudios</w:t>
      </w:r>
      <w:r>
        <w:rPr>
          <w:rStyle w:val="Fuentedeprrafopredeter1"/>
          <w:rFonts w:ascii="Noto Sans" w:hAnsi="Noto Sans" w:cs="Noto Sans"/>
          <w:sz w:val="22"/>
          <w:lang w:val="es-ES_tradnl"/>
        </w:rPr>
        <w:t xml:space="preserve">, les recomendamos adecuar la propuesta a los términos indicados a continuación: </w:t>
      </w:r>
      <w:r>
        <w:rPr>
          <w:rStyle w:val="Fuentedeprrafopredeter1"/>
          <w:rFonts w:ascii="Noto Sans" w:hAnsi="Noto Sans" w:cs="Noto Sans"/>
          <w:i/>
          <w:sz w:val="22"/>
          <w:lang w:val="es-ES_tradnl"/>
        </w:rPr>
        <w:t xml:space="preserve">Modelo modificado y adaptado a las Illes Balears del «Modelo estructura de protocolo/Memoria de estudios de investigación biomédica», elaborado por la Red de Comités de Ética de Galicia (con previa autorización). </w:t>
      </w:r>
    </w:p>
    <w:p w:rsidR="000F23BE" w:rsidRDefault="000F23BE" w:rsidP="000F23BE">
      <w:pPr>
        <w:spacing w:before="120" w:after="120" w:line="240" w:lineRule="auto"/>
        <w:ind w:left="720"/>
        <w:rPr>
          <w:rStyle w:val="Fuentedeprrafopredeter1"/>
          <w:rFonts w:ascii="Noto Sans" w:hAnsi="Noto Sans" w:cs="Noto Sans"/>
          <w:sz w:val="22"/>
          <w:lang w:val="es-ES_tradnl"/>
        </w:rPr>
      </w:pPr>
      <w:r>
        <w:rPr>
          <w:rStyle w:val="Fuentedeprrafopredeter1"/>
          <w:rFonts w:ascii="Noto Sans" w:hAnsi="Noto Sans" w:cs="Noto Sans"/>
          <w:color w:val="000000"/>
          <w:sz w:val="22"/>
          <w:lang w:val="es-ES_tradnl"/>
        </w:rPr>
        <w:t>E</w:t>
      </w:r>
      <w:r>
        <w:rPr>
          <w:rStyle w:val="Fuentedeprrafopredeter1"/>
          <w:rFonts w:ascii="Noto Sans" w:hAnsi="Noto Sans" w:cs="Noto Sans"/>
          <w:sz w:val="22"/>
          <w:lang w:val="es-ES_tradnl"/>
        </w:rPr>
        <w:t xml:space="preserve">l </w:t>
      </w:r>
      <w:r>
        <w:rPr>
          <w:rStyle w:val="Fuentedeprrafopredeter1"/>
          <w:rFonts w:ascii="Noto Sans" w:hAnsi="Noto Sans" w:cs="Noto Sans"/>
          <w:color w:val="2A6099"/>
          <w:sz w:val="22"/>
          <w:lang w:val="es-ES_tradnl"/>
        </w:rPr>
        <w:t>texto en azul</w:t>
      </w:r>
      <w:r>
        <w:rPr>
          <w:rStyle w:val="Fuentedeprrafopredeter1"/>
          <w:rFonts w:ascii="Noto Sans" w:hAnsi="Noto Sans" w:cs="Noto Sans"/>
          <w:sz w:val="22"/>
          <w:lang w:val="es-ES_tradnl"/>
        </w:rPr>
        <w:t xml:space="preserve"> son anotaciones que se incluyen para explicar cada apartado y facilitar la cumplimentación del documento. Estas anotaciones deberán ser eliminadas de la versión definitiva del documento.</w:t>
      </w:r>
      <w:r>
        <w:br w:type="page"/>
      </w:r>
    </w:p>
    <w:p w:rsidR="000F23BE" w:rsidRDefault="000F23BE" w:rsidP="000F23BE">
      <w:pPr>
        <w:spacing w:before="113" w:after="57" w:line="312" w:lineRule="auto"/>
        <w:ind w:right="-1"/>
        <w:jc w:val="center"/>
        <w:rPr>
          <w:rStyle w:val="Fuentedeprrafopredeter1"/>
          <w:rFonts w:ascii="Noto Sans" w:hAnsi="Noto Sans" w:cs="Noto Sans"/>
          <w:b/>
          <w:sz w:val="22"/>
          <w:lang w:val="es-ES_tradnl"/>
        </w:rPr>
      </w:pPr>
      <w:r>
        <w:rPr>
          <w:rStyle w:val="Fuentedeprrafopredeter1"/>
          <w:rFonts w:ascii="Noto Sans" w:hAnsi="Noto Sans" w:cs="Noto Sans"/>
          <w:b/>
          <w:sz w:val="22"/>
          <w:lang w:val="es-ES_tradnl"/>
        </w:rPr>
        <w:lastRenderedPageBreak/>
        <w:t xml:space="preserve">Propuesta de estructura de protocolo de investigación biomédica </w:t>
      </w:r>
    </w:p>
    <w:p w:rsidR="000F23BE" w:rsidRDefault="000F23BE" w:rsidP="000F23BE">
      <w:pPr>
        <w:spacing w:before="113" w:after="57" w:line="312" w:lineRule="auto"/>
        <w:ind w:right="-1"/>
        <w:jc w:val="center"/>
        <w:rPr>
          <w:rFonts w:ascii="Noto Sans" w:hAnsi="Noto Sans" w:cs="Noto Sans"/>
          <w:sz w:val="22"/>
          <w:lang w:val="es-ES_tradnl"/>
        </w:rPr>
      </w:pPr>
      <w:r>
        <w:rPr>
          <w:rStyle w:val="Fuentedeprrafopredeter1"/>
          <w:rFonts w:ascii="Noto Sans" w:hAnsi="Noto Sans" w:cs="Noto Sans"/>
          <w:b/>
          <w:sz w:val="22"/>
          <w:lang w:val="es-ES_tradnl"/>
        </w:rPr>
        <w:t>para proyectos de investigación</w:t>
      </w:r>
    </w:p>
    <w:p w:rsidR="000F23BE" w:rsidRDefault="000F23BE" w:rsidP="000F23BE">
      <w:pPr>
        <w:spacing w:before="113" w:after="57" w:line="312" w:lineRule="auto"/>
        <w:ind w:left="170"/>
        <w:rPr>
          <w:rFonts w:ascii="Noto Sans" w:hAnsi="Noto Sans" w:cs="Noto Sans"/>
          <w:i/>
          <w:sz w:val="22"/>
          <w:lang w:val="es-ES_tradnl"/>
        </w:rPr>
      </w:pPr>
      <w:r>
        <w:rPr>
          <w:rStyle w:val="Fuentedeprrafopredeter1"/>
          <w:rFonts w:ascii="Noto Sans" w:hAnsi="Noto Sans" w:cs="Noto Sans"/>
          <w:b/>
          <w:bCs/>
          <w:i/>
          <w:color w:val="2E74B5" w:themeColor="accent1" w:themeShade="BF"/>
          <w:sz w:val="22"/>
          <w:lang w:val="es-ES_tradnl"/>
        </w:rPr>
        <w:t xml:space="preserve">Portada: </w:t>
      </w:r>
      <w:r>
        <w:rPr>
          <w:rStyle w:val="Fuentedeprrafopredeter1"/>
          <w:rFonts w:ascii="Noto Sans" w:hAnsi="Noto Sans" w:cs="Noto Sans"/>
          <w:i/>
          <w:color w:val="2A6099"/>
          <w:sz w:val="22"/>
          <w:lang w:val="es-ES_tradnl"/>
        </w:rPr>
        <w:t>L</w:t>
      </w:r>
      <w:r>
        <w:rPr>
          <w:rFonts w:ascii="Noto Sans" w:hAnsi="Noto Sans" w:cs="Noto Sans"/>
          <w:i/>
          <w:color w:val="2A6099"/>
          <w:sz w:val="22"/>
          <w:lang w:val="es-ES_tradnl"/>
        </w:rPr>
        <w:t>a primera página del protocolo debe contener la siguiente información:</w:t>
      </w:r>
    </w:p>
    <w:p w:rsidR="000F23BE" w:rsidRDefault="000F23BE" w:rsidP="000F23BE">
      <w:pPr>
        <w:numPr>
          <w:ilvl w:val="0"/>
          <w:numId w:val="4"/>
        </w:numPr>
        <w:tabs>
          <w:tab w:val="clear" w:pos="720"/>
          <w:tab w:val="left" w:pos="-144"/>
          <w:tab w:val="left" w:pos="708"/>
        </w:tabs>
        <w:spacing w:before="57"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Título del proyecto</w:t>
      </w:r>
      <w:r>
        <w:rPr>
          <w:rStyle w:val="Fuentedeprrafopredeter1"/>
          <w:rFonts w:ascii="Noto Sans" w:hAnsi="Noto Sans" w:cs="Noto Sans"/>
          <w:color w:val="000000"/>
          <w:sz w:val="22"/>
          <w:lang w:val="es-ES_tradnl"/>
        </w:rPr>
        <w:t xml:space="preserve"> </w:t>
      </w:r>
      <w:r>
        <w:rPr>
          <w:rStyle w:val="Fuentedeprrafopredeter1"/>
          <w:rFonts w:ascii="Noto Sans" w:hAnsi="Noto Sans" w:cs="Noto Sans"/>
          <w:color w:val="4F81BD"/>
          <w:sz w:val="22"/>
          <w:lang w:val="es-ES_tradnl"/>
        </w:rPr>
        <w:t>(debe permitir identificar la naturaleza del estudio, patología, tipo de diseño, expresado de forma clara e intentando evitar siglas de uso poco habitual).</w:t>
      </w:r>
      <w:r>
        <w:rPr>
          <w:rStyle w:val="Fuentedeprrafopredeter1"/>
          <w:rFonts w:ascii="Noto Sans" w:hAnsi="Noto Sans" w:cs="Noto Sans"/>
          <w:color w:val="000000"/>
          <w:sz w:val="22"/>
          <w:lang w:val="es-ES_tradnl"/>
        </w:rPr>
        <w:t xml:space="preserve"> </w:t>
      </w:r>
    </w:p>
    <w:p w:rsidR="000F23BE" w:rsidRDefault="000F23BE" w:rsidP="000F23BE">
      <w:pPr>
        <w:numPr>
          <w:ilvl w:val="0"/>
          <w:numId w:val="4"/>
        </w:numPr>
        <w:tabs>
          <w:tab w:val="clear" w:pos="720"/>
          <w:tab w:val="left" w:pos="-144"/>
          <w:tab w:val="left" w:pos="708"/>
        </w:tabs>
        <w:spacing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Código de protocolo</w:t>
      </w:r>
      <w:r>
        <w:rPr>
          <w:rStyle w:val="Fuentedeprrafopredeter1"/>
          <w:rFonts w:ascii="Noto Sans" w:hAnsi="Noto Sans" w:cs="Noto Sans"/>
          <w:color w:val="000000"/>
          <w:sz w:val="22"/>
          <w:lang w:val="es-ES_tradnl"/>
        </w:rPr>
        <w:t xml:space="preserve"> </w:t>
      </w:r>
      <w:r>
        <w:rPr>
          <w:rStyle w:val="Fuentedeprrafopredeter1"/>
          <w:rFonts w:ascii="Noto Sans" w:hAnsi="Noto Sans" w:cs="Noto Sans"/>
          <w:color w:val="2A6099"/>
          <w:sz w:val="22"/>
          <w:lang w:val="es-ES_tradnl"/>
        </w:rPr>
        <w:t>(si lo tuviera)</w:t>
      </w:r>
    </w:p>
    <w:p w:rsidR="000F23BE" w:rsidRDefault="000F23BE" w:rsidP="000F23BE">
      <w:pPr>
        <w:numPr>
          <w:ilvl w:val="0"/>
          <w:numId w:val="4"/>
        </w:numPr>
        <w:tabs>
          <w:tab w:val="clear" w:pos="720"/>
          <w:tab w:val="left" w:pos="-144"/>
          <w:tab w:val="left" w:pos="708"/>
        </w:tabs>
        <w:spacing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Versión de protocolo con fecha</w:t>
      </w:r>
      <w:r>
        <w:rPr>
          <w:rStyle w:val="Fuentedeprrafopredeter1"/>
          <w:rFonts w:ascii="Noto Sans" w:hAnsi="Noto Sans" w:cs="Noto Sans"/>
          <w:color w:val="000000"/>
          <w:sz w:val="22"/>
          <w:lang w:val="es-ES_tradnl"/>
        </w:rPr>
        <w:t xml:space="preserve"> </w:t>
      </w:r>
      <w:r>
        <w:rPr>
          <w:rStyle w:val="Fuentedeprrafopredeter1"/>
          <w:rFonts w:ascii="Noto Sans" w:hAnsi="Noto Sans" w:cs="Noto Sans"/>
          <w:color w:val="2A6099"/>
          <w:sz w:val="22"/>
          <w:lang w:val="es-ES_tradnl"/>
        </w:rPr>
        <w:t>(por ejemplo: Versión 1 de fecha 01/01/2021, que se debe actualizar tras cada modificación que se haga; se debe recordar que el CEI autoriza una versión concreta, que será de obligado cumplimiento).</w:t>
      </w:r>
    </w:p>
    <w:p w:rsidR="000F23BE" w:rsidRDefault="000F23BE" w:rsidP="000F23BE">
      <w:pPr>
        <w:numPr>
          <w:ilvl w:val="0"/>
          <w:numId w:val="4"/>
        </w:numPr>
        <w:tabs>
          <w:tab w:val="clear" w:pos="720"/>
          <w:tab w:val="left" w:pos="-144"/>
          <w:tab w:val="left" w:pos="708"/>
        </w:tabs>
        <w:spacing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 xml:space="preserve">Promotor </w:t>
      </w:r>
      <w:r>
        <w:rPr>
          <w:rStyle w:val="Fuentedeprrafopredeter1"/>
          <w:rFonts w:ascii="Noto Sans" w:hAnsi="Noto Sans" w:cs="Noto Sans"/>
          <w:color w:val="2A6099"/>
          <w:sz w:val="22"/>
          <w:lang w:val="es-ES_tradnl"/>
        </w:rPr>
        <w:t>(persona física o jurídica que asume la responsabilidad última del proyecto).</w:t>
      </w:r>
    </w:p>
    <w:p w:rsidR="000F23BE" w:rsidRDefault="000F23BE" w:rsidP="000F23BE">
      <w:pPr>
        <w:numPr>
          <w:ilvl w:val="0"/>
          <w:numId w:val="4"/>
        </w:numPr>
        <w:tabs>
          <w:tab w:val="clear" w:pos="720"/>
          <w:tab w:val="left" w:pos="-144"/>
          <w:tab w:val="left" w:pos="708"/>
        </w:tabs>
        <w:spacing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 xml:space="preserve">Investigador principal </w:t>
      </w:r>
      <w:r>
        <w:rPr>
          <w:rStyle w:val="Fuentedeprrafopredeter1"/>
          <w:rFonts w:ascii="Noto Sans" w:hAnsi="Noto Sans" w:cs="Noto Sans"/>
          <w:bCs/>
          <w:color w:val="4F81BD"/>
          <w:sz w:val="22"/>
          <w:lang w:val="es-ES_tradnl"/>
        </w:rPr>
        <w:t>(persona física responsable de realizar el estudio; debe incluir</w:t>
      </w:r>
      <w:r>
        <w:rPr>
          <w:rStyle w:val="Fuentedeprrafopredeter1"/>
          <w:rFonts w:ascii="Noto Sans" w:hAnsi="Noto Sans" w:cs="Noto Sans"/>
          <w:color w:val="4F81BD"/>
          <w:sz w:val="22"/>
          <w:lang w:val="es-ES_tradnl"/>
        </w:rPr>
        <w:t>: nombre, apellidos, puesto desempeñado, unidad o servicio y centro o institución).</w:t>
      </w:r>
    </w:p>
    <w:p w:rsidR="000F23BE" w:rsidRDefault="000F23BE" w:rsidP="000F23BE">
      <w:pPr>
        <w:numPr>
          <w:ilvl w:val="0"/>
          <w:numId w:val="4"/>
        </w:numPr>
        <w:tabs>
          <w:tab w:val="clear" w:pos="720"/>
          <w:tab w:val="left" w:pos="-144"/>
          <w:tab w:val="left" w:pos="708"/>
        </w:tabs>
        <w:spacing w:after="0" w:line="312" w:lineRule="auto"/>
        <w:textAlignment w:val="baseline"/>
        <w:rPr>
          <w:rFonts w:ascii="Noto Sans" w:hAnsi="Noto Sans" w:cs="Noto Sans"/>
          <w:sz w:val="22"/>
          <w:lang w:val="es-ES_tradnl"/>
        </w:rPr>
      </w:pPr>
      <w:r>
        <w:rPr>
          <w:rStyle w:val="Fuentedeprrafopredeter1"/>
          <w:rFonts w:ascii="Noto Sans" w:hAnsi="Noto Sans" w:cs="Noto Sans"/>
          <w:b/>
          <w:bCs/>
          <w:color w:val="000000"/>
          <w:sz w:val="22"/>
          <w:lang w:val="es-ES_tradnl"/>
        </w:rPr>
        <w:t xml:space="preserve">Investigadores colaboradores </w:t>
      </w:r>
      <w:r>
        <w:rPr>
          <w:rStyle w:val="Fuentedeprrafopredeter1"/>
          <w:rFonts w:ascii="Noto Sans" w:hAnsi="Noto Sans" w:cs="Noto Sans"/>
          <w:bCs/>
          <w:color w:val="4F81BD"/>
          <w:sz w:val="22"/>
          <w:lang w:val="es-ES_tradnl"/>
        </w:rPr>
        <w:t>(debe existir al menos un colaborador, que garantice la continuidad del proyecto en ausencia del principal)</w:t>
      </w:r>
      <w:r>
        <w:rPr>
          <w:rStyle w:val="Fuentedeprrafopredeter1"/>
          <w:rFonts w:ascii="Noto Sans" w:hAnsi="Noto Sans" w:cs="Noto Sans"/>
          <w:color w:val="2A6099"/>
          <w:sz w:val="22"/>
          <w:lang w:val="es-ES_tradnl"/>
        </w:rPr>
        <w:t>.</w:t>
      </w:r>
    </w:p>
    <w:p w:rsidR="000F23BE" w:rsidRDefault="000F23BE" w:rsidP="000F23BE">
      <w:pPr>
        <w:spacing w:before="170" w:line="312" w:lineRule="auto"/>
        <w:ind w:left="709"/>
        <w:rPr>
          <w:rFonts w:ascii="Noto Sans" w:hAnsi="Noto Sans" w:cs="Noto Sans"/>
          <w:color w:val="2E74B5" w:themeColor="accent1" w:themeShade="BF"/>
          <w:sz w:val="22"/>
          <w:lang w:val="es-ES_tradnl"/>
        </w:rPr>
      </w:pPr>
      <w:r>
        <w:rPr>
          <w:rStyle w:val="Fuentedeprrafopredeter1"/>
          <w:rFonts w:ascii="Noto Sans" w:hAnsi="Noto Sans" w:cs="Noto Sans"/>
          <w:b/>
          <w:bCs/>
          <w:i/>
          <w:iCs/>
          <w:color w:val="2E74B5" w:themeColor="accent1" w:themeShade="BF"/>
          <w:sz w:val="22"/>
          <w:lang w:val="es-ES_tradnl"/>
        </w:rPr>
        <w:t>Nota:</w:t>
      </w:r>
      <w:r>
        <w:rPr>
          <w:rStyle w:val="Fuentedeprrafopredeter1"/>
          <w:rFonts w:ascii="Noto Sans" w:hAnsi="Noto Sans" w:cs="Noto Sans"/>
          <w:i/>
          <w:iCs/>
          <w:color w:val="2E74B5" w:themeColor="accent1" w:themeShade="BF"/>
          <w:sz w:val="22"/>
          <w:lang w:val="es-ES_tradnl"/>
        </w:rPr>
        <w:t xml:space="preserve"> el investigador principal puede coincidir con el promotor (esto es habitual en la investigación clínica sin interés comercial).</w:t>
      </w:r>
    </w:p>
    <w:p w:rsidR="000F23BE" w:rsidRDefault="000F23BE" w:rsidP="000F23BE">
      <w:pPr>
        <w:numPr>
          <w:ilvl w:val="0"/>
          <w:numId w:val="2"/>
        </w:numPr>
        <w:tabs>
          <w:tab w:val="clear" w:pos="226"/>
          <w:tab w:val="left" w:pos="216"/>
        </w:tabs>
        <w:spacing w:before="120" w:after="120" w:line="240" w:lineRule="auto"/>
        <w:ind w:left="215" w:firstLine="0"/>
        <w:textAlignment w:val="baseline"/>
        <w:rPr>
          <w:rFonts w:ascii="Noto Sans" w:hAnsi="Noto Sans" w:cs="Noto Sans"/>
          <w:sz w:val="22"/>
          <w:lang w:val="es-ES_tradnl"/>
        </w:rPr>
      </w:pPr>
      <w:r>
        <w:rPr>
          <w:rStyle w:val="Fuentedeprrafopredeter1"/>
          <w:rFonts w:ascii="Noto Sans" w:hAnsi="Noto Sans" w:cs="Noto Sans"/>
          <w:b/>
          <w:bCs/>
          <w:sz w:val="22"/>
          <w:lang w:val="es-ES_tradnl"/>
        </w:rPr>
        <w:t>Índice</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Resumen</w:t>
      </w:r>
    </w:p>
    <w:p w:rsidR="000F23BE" w:rsidRDefault="000F23BE" w:rsidP="000F23BE">
      <w:pPr>
        <w:tabs>
          <w:tab w:val="left" w:pos="216"/>
        </w:tabs>
        <w:spacing w:before="120" w:after="120" w:line="240" w:lineRule="auto"/>
        <w:ind w:left="709"/>
        <w:rPr>
          <w:rFonts w:ascii="Noto Sans" w:hAnsi="Noto Sans" w:cs="Noto San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Este apartado es opcional, a excepción de que el protocolo esté redactado en inglés en cuyo caso es obligatorio presentar un resumen en una lengua oficial de la comunidad autónoma (en el caso de ensayos clínicos y estudios observacionales con medicamentos, debe existir versión castellana porque se incorporan a un registro nacional).</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Título del proyecto</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Código del protocolo</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Promotor</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Investigador principal</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Centros en los que se prevé realizar el estudio</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Diseño del estudio (transversal, cohortes, casos y controles, ensayo clínico…)</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Condición o enfermedad a estudiar</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lastRenderedPageBreak/>
        <w:t>Objetivo principal y secundarios</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Variable principal de valoración</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sz w:val="22"/>
          <w:lang w:val="es-ES_tradnl"/>
        </w:rPr>
      </w:pPr>
      <w:r>
        <w:rPr>
          <w:rFonts w:ascii="Noto Sans" w:hAnsi="Noto Sans" w:cs="Noto Sans"/>
          <w:sz w:val="22"/>
          <w:lang w:val="es-ES_tradnl"/>
        </w:rPr>
        <w:t>Población en estudio y número total de sujetos</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Antecedentes y justificación del proyecto</w:t>
      </w:r>
    </w:p>
    <w:p w:rsidR="000F23BE" w:rsidRDefault="000F23BE" w:rsidP="000F23BE">
      <w:pPr>
        <w:tabs>
          <w:tab w:val="left" w:pos="216"/>
        </w:tabs>
        <w:spacing w:before="120" w:after="120" w:line="240" w:lineRule="auto"/>
        <w:ind w:left="709"/>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 xml:space="preserve">En este apartado debe presentarse de forma clara el tema que se pretende investigar, describiendo el estado de conocimiento actual acerca del mismo (que debe fundamentarse en la literatura científica) y explicando los motivos que justifican la pertinencia de llevar a cabo el estudio que se propone. </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rFonts w:ascii="Noto Sans" w:hAnsi="Noto Sans" w:cs="Noto Sans"/>
          <w:b/>
          <w:bCs/>
          <w:sz w:val="22"/>
          <w:lang w:val="es-ES_tradnl"/>
        </w:rPr>
      </w:pPr>
      <w:r>
        <w:rPr>
          <w:rStyle w:val="Fuentedeprrafopredeter1"/>
          <w:rFonts w:ascii="Noto Sans" w:hAnsi="Noto Sans" w:cs="Noto Sans"/>
          <w:b/>
          <w:bCs/>
          <w:sz w:val="22"/>
          <w:lang w:val="es-ES_tradnl"/>
        </w:rPr>
        <w:t>Bibliografía</w:t>
      </w:r>
    </w:p>
    <w:p w:rsidR="000F23BE" w:rsidRDefault="000F23BE" w:rsidP="000F23BE">
      <w:pPr>
        <w:tabs>
          <w:tab w:val="left" w:pos="216"/>
        </w:tabs>
        <w:spacing w:before="120" w:after="120" w:line="240" w:lineRule="auto"/>
        <w:ind w:left="709"/>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Aquella en la que se fundamenta la justificación del estudio, siguiendo las normas internacionales de citación (Vancouver).</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rFonts w:ascii="Noto Sans" w:hAnsi="Noto Sans" w:cs="Noto Sans"/>
          <w:b/>
          <w:bCs/>
          <w:sz w:val="22"/>
          <w:lang w:val="es-ES_tradnl"/>
        </w:rPr>
      </w:pPr>
      <w:r>
        <w:rPr>
          <w:rStyle w:val="Fuentedeprrafopredeter1"/>
          <w:rFonts w:ascii="Noto Sans" w:hAnsi="Noto Sans" w:cs="Noto Sans"/>
          <w:b/>
          <w:bCs/>
          <w:sz w:val="22"/>
          <w:lang w:val="es-ES_tradnl"/>
        </w:rPr>
        <w:t>Hipótesis del estudio</w:t>
      </w:r>
    </w:p>
    <w:p w:rsidR="000F23BE" w:rsidRDefault="000F23BE" w:rsidP="000F23BE">
      <w:pPr>
        <w:tabs>
          <w:tab w:val="left" w:pos="216"/>
        </w:tabs>
        <w:spacing w:before="120" w:after="120" w:line="240" w:lineRule="auto"/>
        <w:ind w:left="709"/>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Siempre y cuando los estudios sean analíticos y no meramente descriptivos.</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Objetivos</w:t>
      </w:r>
    </w:p>
    <w:p w:rsidR="000F23BE" w:rsidRDefault="000F23BE" w:rsidP="000F23BE">
      <w:pPr>
        <w:tabs>
          <w:tab w:val="left" w:pos="216"/>
        </w:tabs>
        <w:spacing w:before="120" w:after="120" w:line="240" w:lineRule="auto"/>
        <w:ind w:left="709"/>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Los objetivos deben estar relacionados con la hipótesis que se plantea, y redactados de forma clara, concisa y operativa.</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es-ES_tradnl"/>
        </w:rPr>
      </w:pPr>
      <w:r>
        <w:rPr>
          <w:rFonts w:ascii="Noto Sans" w:hAnsi="Noto Sans" w:cs="Noto Sans"/>
          <w:sz w:val="22"/>
          <w:lang w:val="es-ES_tradnl"/>
        </w:rPr>
        <w:t xml:space="preserve">Objetivo principal: </w:t>
      </w:r>
      <w:r>
        <w:rPr>
          <w:rFonts w:ascii="Noto Sans" w:hAnsi="Noto Sans" w:cs="Noto Sans"/>
          <w:color w:val="2E74B5" w:themeColor="accent1" w:themeShade="BF"/>
          <w:sz w:val="22"/>
          <w:lang w:val="es-ES_tradnl"/>
        </w:rPr>
        <w:t>aquel para el cual se hace el cálculo del tamaño muestral y al cual se refiere la variable principal de medición.</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es-ES_tradnl"/>
        </w:rPr>
      </w:pPr>
      <w:r>
        <w:rPr>
          <w:rFonts w:ascii="Noto Sans" w:hAnsi="Noto Sans" w:cs="Noto Sans"/>
          <w:sz w:val="22"/>
          <w:lang w:val="es-ES_tradnl"/>
        </w:rPr>
        <w:t xml:space="preserve">Objetivos secundarios: </w:t>
      </w:r>
      <w:r>
        <w:rPr>
          <w:rFonts w:ascii="Noto Sans" w:hAnsi="Noto Sans" w:cs="Noto Sans"/>
          <w:color w:val="2E74B5" w:themeColor="accent1" w:themeShade="BF"/>
          <w:sz w:val="22"/>
          <w:lang w:val="es-ES_tradnl"/>
        </w:rPr>
        <w:t>si los hubiera.</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Tipo de estudio</w:t>
      </w:r>
    </w:p>
    <w:p w:rsidR="000F23BE" w:rsidRDefault="000F23BE" w:rsidP="000F23BE">
      <w:pPr>
        <w:tabs>
          <w:tab w:val="left" w:pos="216"/>
        </w:tabs>
        <w:spacing w:before="120" w:after="120" w:line="240" w:lineRule="auto"/>
        <w:ind w:left="709"/>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 xml:space="preserve">Definición del diseño del estudio (observacional, </w:t>
      </w:r>
      <w:proofErr w:type="spellStart"/>
      <w:r>
        <w:rPr>
          <w:rStyle w:val="Fuentedeprrafopredeter1"/>
          <w:rFonts w:ascii="Noto Sans" w:hAnsi="Noto Sans" w:cs="Noto Sans"/>
          <w:bCs/>
          <w:color w:val="2E74B5" w:themeColor="accent1" w:themeShade="BF"/>
          <w:sz w:val="22"/>
          <w:lang w:val="es-ES_tradnl"/>
        </w:rPr>
        <w:t>interventivo</w:t>
      </w:r>
      <w:proofErr w:type="spellEnd"/>
      <w:r>
        <w:rPr>
          <w:rStyle w:val="Fuentedeprrafopredeter1"/>
          <w:rFonts w:ascii="Noto Sans" w:hAnsi="Noto Sans" w:cs="Noto Sans"/>
          <w:bCs/>
          <w:color w:val="2E74B5" w:themeColor="accent1" w:themeShade="BF"/>
          <w:sz w:val="22"/>
          <w:lang w:val="es-ES_tradnl"/>
        </w:rPr>
        <w:t xml:space="preserve">, transversal, de cohortes, casos y controles, ensayo clínico, etc. Se deben añadir todos los factores relevantes: </w:t>
      </w:r>
      <w:proofErr w:type="spellStart"/>
      <w:r>
        <w:rPr>
          <w:rStyle w:val="Fuentedeprrafopredeter1"/>
          <w:rFonts w:ascii="Noto Sans" w:hAnsi="Noto Sans" w:cs="Noto Sans"/>
          <w:bCs/>
          <w:color w:val="2E74B5" w:themeColor="accent1" w:themeShade="BF"/>
          <w:sz w:val="22"/>
          <w:lang w:val="es-ES_tradnl"/>
        </w:rPr>
        <w:t>unicéntrico</w:t>
      </w:r>
      <w:proofErr w:type="spellEnd"/>
      <w:r>
        <w:rPr>
          <w:rStyle w:val="Fuentedeprrafopredeter1"/>
          <w:rFonts w:ascii="Noto Sans" w:hAnsi="Noto Sans" w:cs="Noto Sans"/>
          <w:bCs/>
          <w:color w:val="2E74B5" w:themeColor="accent1" w:themeShade="BF"/>
          <w:sz w:val="22"/>
          <w:lang w:val="es-ES_tradnl"/>
        </w:rPr>
        <w:t xml:space="preserve"> o multicéntrico, prospectivo o retrospectivo, etc.)</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Material y métodos</w:t>
      </w:r>
    </w:p>
    <w:p w:rsidR="000F23BE" w:rsidRDefault="000F23BE" w:rsidP="000F23BE">
      <w:pPr>
        <w:numPr>
          <w:ilvl w:val="1"/>
          <w:numId w:val="2"/>
        </w:numPr>
        <w:spacing w:before="120" w:after="120" w:line="240" w:lineRule="auto"/>
        <w:ind w:left="1276" w:hanging="425"/>
        <w:textAlignment w:val="baseline"/>
        <w:rPr>
          <w:rStyle w:val="Fuentedeprrafopredeter1"/>
          <w:rFonts w:ascii="Noto Sans" w:hAnsi="Noto Sans" w:cs="Noto Sans"/>
          <w:bCs/>
          <w:sz w:val="22"/>
          <w:lang w:val="es-ES_tradnl"/>
        </w:rPr>
      </w:pPr>
      <w:r>
        <w:rPr>
          <w:rStyle w:val="Fuentedeprrafopredeter1"/>
          <w:rFonts w:ascii="Noto Sans" w:hAnsi="Noto Sans" w:cs="Noto Sans"/>
          <w:bCs/>
          <w:sz w:val="22"/>
          <w:lang w:val="es-ES_tradnl"/>
        </w:rPr>
        <w:t>Ámbito de estudio</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Definición de los sujetos a estudio</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Deben definirse las características del grupo a estudio (grupo experimental, grupo de expuestos, casos) y, en caso de que lo hubiera, también del grupo control.</w:t>
      </w:r>
    </w:p>
    <w:p w:rsidR="000F23BE" w:rsidRDefault="000F23BE" w:rsidP="000F23BE">
      <w:pPr>
        <w:numPr>
          <w:ilvl w:val="1"/>
          <w:numId w:val="2"/>
        </w:numPr>
        <w:spacing w:before="120" w:after="120" w:line="240" w:lineRule="auto"/>
        <w:ind w:left="1276" w:hanging="425"/>
        <w:textAlignment w:val="baseline"/>
        <w:rPr>
          <w:rStyle w:val="Fuentedeprrafopredeter1"/>
          <w:rFonts w:ascii="Noto Sans" w:hAnsi="Noto Sans" w:cs="Noto Sans"/>
          <w:bCs/>
          <w:sz w:val="22"/>
          <w:lang w:val="es-ES_tradnl"/>
        </w:rPr>
      </w:pPr>
      <w:r>
        <w:rPr>
          <w:rStyle w:val="Fuentedeprrafopredeter1"/>
          <w:rFonts w:ascii="Noto Sans" w:hAnsi="Noto Sans" w:cs="Noto Sans"/>
          <w:bCs/>
          <w:sz w:val="22"/>
          <w:lang w:val="es-ES_tradnl"/>
        </w:rPr>
        <w:t>Selección y retirada de sujetos</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es-ES_tradnl"/>
        </w:rPr>
      </w:pPr>
      <w:r>
        <w:rPr>
          <w:rFonts w:ascii="Noto Sans" w:hAnsi="Noto Sans" w:cs="Noto Sans"/>
          <w:sz w:val="22"/>
          <w:lang w:val="es-ES_tradnl"/>
        </w:rPr>
        <w:t xml:space="preserve">Criterios de inclusión y exclusión: </w:t>
      </w:r>
      <w:r>
        <w:rPr>
          <w:rFonts w:ascii="Noto Sans" w:hAnsi="Noto Sans" w:cs="Noto Sans"/>
          <w:color w:val="2E74B5" w:themeColor="accent1" w:themeShade="BF"/>
          <w:sz w:val="22"/>
          <w:lang w:val="es-ES_tradnl"/>
        </w:rPr>
        <w:t>en caso de incluir población vulnerable, debe justificarse.</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es-ES_tradnl"/>
        </w:rPr>
      </w:pPr>
      <w:r>
        <w:rPr>
          <w:rFonts w:ascii="Noto Sans" w:hAnsi="Noto Sans" w:cs="Noto Sans"/>
          <w:sz w:val="22"/>
          <w:lang w:val="es-ES_tradnl"/>
        </w:rPr>
        <w:lastRenderedPageBreak/>
        <w:t xml:space="preserve">Fracaso terapéutico: </w:t>
      </w:r>
      <w:r>
        <w:rPr>
          <w:rFonts w:ascii="Noto Sans" w:hAnsi="Noto Sans" w:cs="Noto Sans"/>
          <w:color w:val="2E74B5" w:themeColor="accent1" w:themeShade="BF"/>
          <w:sz w:val="22"/>
          <w:lang w:val="es-ES_tradnl"/>
        </w:rPr>
        <w:t>solo para estudios experimentales en los que hay una intervención terapéutica, por ejemplo, una técnica quirúrgica.</w:t>
      </w:r>
    </w:p>
    <w:p w:rsidR="000F23BE" w:rsidRDefault="000F23BE" w:rsidP="000F23BE">
      <w:pPr>
        <w:numPr>
          <w:ilvl w:val="5"/>
          <w:numId w:val="3"/>
        </w:numPr>
        <w:tabs>
          <w:tab w:val="left" w:pos="936"/>
        </w:tabs>
        <w:spacing w:after="0" w:line="312" w:lineRule="auto"/>
        <w:ind w:left="1418"/>
        <w:textAlignment w:val="baseline"/>
        <w:rPr>
          <w:rFonts w:ascii="Noto Sans" w:hAnsi="Noto Sans" w:cs="Noto Sans"/>
          <w:color w:val="2E74B5" w:themeColor="accent1" w:themeShade="BF"/>
          <w:sz w:val="22"/>
          <w:lang w:val="es-ES_tradnl"/>
        </w:rPr>
      </w:pPr>
      <w:r>
        <w:rPr>
          <w:rFonts w:ascii="Noto Sans" w:hAnsi="Noto Sans" w:cs="Noto Sans"/>
          <w:sz w:val="22"/>
          <w:lang w:val="es-ES_tradnl"/>
        </w:rPr>
        <w:t xml:space="preserve">Criterios de retirada y rescate: </w:t>
      </w:r>
      <w:r>
        <w:rPr>
          <w:rFonts w:ascii="Noto Sans" w:hAnsi="Noto Sans" w:cs="Noto Sans"/>
          <w:color w:val="2E74B5" w:themeColor="accent1" w:themeShade="BF"/>
          <w:sz w:val="22"/>
          <w:lang w:val="es-ES_tradnl"/>
        </w:rPr>
        <w:t>si procede, habitualmente en estudios experimentales como los descritos en el punto anterior.</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Captación y reclutamiento de los participantes</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Debe detallarse cómo, quién y dónde se recluta a los participantes.</w:t>
      </w:r>
    </w:p>
    <w:p w:rsidR="000F23BE" w:rsidRDefault="000F23BE" w:rsidP="000F23BE">
      <w:pPr>
        <w:numPr>
          <w:ilvl w:val="1"/>
          <w:numId w:val="2"/>
        </w:numPr>
        <w:spacing w:before="120" w:after="120" w:line="240" w:lineRule="auto"/>
        <w:ind w:left="1276" w:hanging="425"/>
        <w:textAlignment w:val="baseline"/>
        <w:rPr>
          <w:rStyle w:val="Fuentedeprrafopredeter1"/>
          <w:rFonts w:ascii="Noto Sans" w:hAnsi="Noto Sans" w:cs="Noto Sans"/>
          <w:bCs/>
          <w:sz w:val="22"/>
          <w:lang w:val="es-ES_tradnl"/>
        </w:rPr>
      </w:pPr>
      <w:r>
        <w:rPr>
          <w:rStyle w:val="Fuentedeprrafopredeter1"/>
          <w:rFonts w:ascii="Noto Sans" w:hAnsi="Noto Sans" w:cs="Noto Sans"/>
          <w:bCs/>
          <w:sz w:val="22"/>
          <w:lang w:val="es-ES_tradnl"/>
        </w:rPr>
        <w:t>Procedimiento de asignación/aleatorización</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Si procede, por ejemplo, experimentales tipo ensayo clínico.</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Justificación del tamaño muestral</w:t>
      </w:r>
    </w:p>
    <w:p w:rsidR="000F23BE" w:rsidRDefault="000F23BE" w:rsidP="000F23BE">
      <w:pPr>
        <w:tabs>
          <w:tab w:val="left" w:pos="936"/>
        </w:tabs>
        <w:spacing w:before="120" w:after="120" w:line="240" w:lineRule="auto"/>
        <w:ind w:left="1276"/>
        <w:rPr>
          <w:rFonts w:ascii="Noto Sans" w:hAnsi="Noto Sans" w:cs="Noto Sans"/>
          <w:sz w:val="22"/>
          <w:lang w:val="es-ES_tradnl"/>
        </w:rPr>
      </w:pPr>
      <w:r>
        <w:rPr>
          <w:rStyle w:val="Fuentedeprrafopredeter1"/>
          <w:rFonts w:ascii="Noto Sans" w:hAnsi="Noto Sans" w:cs="Noto Sans"/>
          <w:bCs/>
          <w:color w:val="2E74B5" w:themeColor="accent1" w:themeShade="BF"/>
          <w:sz w:val="22"/>
          <w:lang w:val="es-ES_tradnl"/>
        </w:rPr>
        <w:t>El cálculo del tamaño de muestra en los estudios en los que el objetivo</w:t>
      </w:r>
      <w:r>
        <w:rPr>
          <w:rStyle w:val="Fuentedeprrafopredeter1"/>
          <w:rFonts w:ascii="Noto Sans" w:hAnsi="Noto Sans" w:cs="Noto Sans"/>
          <w:color w:val="4F81BD"/>
          <w:sz w:val="22"/>
          <w:lang w:val="es-ES_tradnl"/>
        </w:rPr>
        <w:t xml:space="preserve"> general vaya encaminado a </w:t>
      </w:r>
      <w:r>
        <w:rPr>
          <w:rStyle w:val="Fuentedeprrafopredeter1"/>
          <w:rFonts w:ascii="Noto Sans" w:hAnsi="Noto Sans" w:cs="Noto Sans"/>
          <w:b/>
          <w:bCs/>
          <w:color w:val="4F81BD"/>
          <w:sz w:val="22"/>
          <w:lang w:val="es-ES_tradnl"/>
        </w:rPr>
        <w:t>calcular una medida de riesgo</w:t>
      </w:r>
      <w:r>
        <w:rPr>
          <w:rStyle w:val="Fuentedeprrafopredeter1"/>
          <w:rFonts w:ascii="Noto Sans" w:hAnsi="Noto Sans" w:cs="Noto Sans"/>
          <w:color w:val="4F81BD"/>
          <w:sz w:val="22"/>
          <w:lang w:val="es-ES_tradnl"/>
        </w:rPr>
        <w:t xml:space="preserve"> (RR, OR, HR…) debe hacerse a partir de la predeterminación de la potencia (usualmente se predetermina en β=0.8) y nivel de confianza (usualmente se predetermina en α= 0.05). También será necesario justificarlo si la intención del estudio es </w:t>
      </w:r>
      <w:r>
        <w:rPr>
          <w:rStyle w:val="Fuentedeprrafopredeter1"/>
          <w:rFonts w:ascii="Noto Sans" w:hAnsi="Noto Sans" w:cs="Noto Sans"/>
          <w:b/>
          <w:bCs/>
          <w:color w:val="4F81BD"/>
          <w:sz w:val="22"/>
          <w:lang w:val="es-ES_tradnl"/>
        </w:rPr>
        <w:t>determinar el cálculo de una prevalencia o una incidencia de un evento</w:t>
      </w:r>
      <w:r>
        <w:rPr>
          <w:rStyle w:val="Fuentedeprrafopredeter1"/>
          <w:rFonts w:ascii="Noto Sans" w:hAnsi="Noto Sans" w:cs="Noto Sans"/>
          <w:color w:val="4F81BD"/>
          <w:sz w:val="22"/>
          <w:lang w:val="es-ES_tradnl"/>
        </w:rPr>
        <w:t xml:space="preserve">. En estos casos, la justificación debe determinarse con la precisión (ω &lt; 0.5) y el nivel de confianza (α= 0.05). Si el </w:t>
      </w:r>
      <w:r>
        <w:rPr>
          <w:rStyle w:val="Fuentedeprrafopredeter1"/>
          <w:rFonts w:ascii="Noto Sans" w:hAnsi="Noto Sans" w:cs="Noto Sans"/>
          <w:b/>
          <w:bCs/>
          <w:color w:val="4F81BD"/>
          <w:sz w:val="22"/>
          <w:lang w:val="es-ES_tradnl"/>
        </w:rPr>
        <w:t>tamaño de muestra viene predeterminado</w:t>
      </w:r>
      <w:r>
        <w:rPr>
          <w:rStyle w:val="Fuentedeprrafopredeter1"/>
          <w:rFonts w:ascii="Noto Sans" w:hAnsi="Noto Sans" w:cs="Noto Sans"/>
          <w:color w:val="4F81BD"/>
          <w:sz w:val="22"/>
          <w:lang w:val="es-ES_tradnl"/>
        </w:rPr>
        <w:t>, será necesario presentar los datos de potencia o precisión en función del objetivo general que se plantee.</w:t>
      </w:r>
    </w:p>
    <w:p w:rsidR="000F23BE" w:rsidRDefault="000F23BE" w:rsidP="000F23BE">
      <w:pPr>
        <w:tabs>
          <w:tab w:val="left" w:pos="936"/>
        </w:tabs>
        <w:spacing w:before="120" w:after="120" w:line="240" w:lineRule="auto"/>
        <w:ind w:left="1276"/>
        <w:rPr>
          <w:rFonts w:ascii="Noto Sans" w:hAnsi="Noto Sans" w:cs="Noto Sans"/>
          <w:sz w:val="22"/>
          <w:lang w:val="es-ES_tradnl"/>
        </w:rPr>
      </w:pPr>
      <w:r>
        <w:rPr>
          <w:rStyle w:val="Fuentedeprrafopredeter1"/>
          <w:rFonts w:ascii="Noto Sans" w:hAnsi="Noto Sans" w:cs="Noto Sans"/>
          <w:color w:val="4F81BD"/>
          <w:sz w:val="22"/>
          <w:lang w:val="es-ES_tradnl"/>
        </w:rPr>
        <w:t xml:space="preserve">Finalmente, si la intención del trabajo es establecer </w:t>
      </w:r>
      <w:r>
        <w:rPr>
          <w:rStyle w:val="Fuentedeprrafopredeter1"/>
          <w:rFonts w:ascii="Noto Sans" w:hAnsi="Noto Sans" w:cs="Noto Sans"/>
          <w:b/>
          <w:bCs/>
          <w:color w:val="4F81BD"/>
          <w:sz w:val="22"/>
          <w:lang w:val="es-ES_tradnl"/>
        </w:rPr>
        <w:t>diferencias descriptivas entre grupos</w:t>
      </w:r>
      <w:r>
        <w:rPr>
          <w:rStyle w:val="Fuentedeprrafopredeter1"/>
          <w:rFonts w:ascii="Noto Sans" w:hAnsi="Noto Sans" w:cs="Noto Sans"/>
          <w:color w:val="4F81BD"/>
          <w:sz w:val="22"/>
          <w:lang w:val="es-ES_tradnl"/>
        </w:rPr>
        <w:t>, se necesitará indicar que el tamaño de muestra es suficiente o razonable para encontrar diferencias en caso de que las haya.</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Variables principal y secundarias</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 xml:space="preserve">Definición clara de las variables principal y secundarias que se van a recoger. Las variables deben corresponderse con los objetivos del estudio, es decir deben poder medir aquello que hemos identificado como objetivo/s del estudio. </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Es necesario tener en consideración el principio de minimización de datos establecido por el Reglamento General de Protección de Datos (REGLAMENTO (UE) 679/2016 del Parlamento Europeo y del Consejo de 27 de abril de 2016), artículos 5 y 89. Con base en este, solo se recopilará y tratará la mínima información necesaria para alcanzar la finalidad perseguida con el estudio en cuestión.</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Los cuestionarios, escalas o criterios diagnósticos o terapéuticos que vayan a aplicarse en el estudio deben incluirse como anexos al protocolo.</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Descripción de la intervención</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lastRenderedPageBreak/>
        <w:t>Debe incluirse un calendario de visitas y procedimientos a realizar en las mismas. Este aspecto es particularmente importante en los estudios prospectivos en los que se llevan a cabo visitas/procedimientos diagnósticos o terapéuticos adicionales a la práctica clínica habitual para la recogida de muestras biológicas y/o realización de pruebas específicas para el estudio.</w:t>
      </w:r>
    </w:p>
    <w:p w:rsidR="000F23BE" w:rsidRDefault="000F23BE" w:rsidP="000F23BE">
      <w:pPr>
        <w:numPr>
          <w:ilvl w:val="1"/>
          <w:numId w:val="2"/>
        </w:numPr>
        <w:spacing w:before="120" w:after="120" w:line="240" w:lineRule="auto"/>
        <w:ind w:left="1276" w:hanging="425"/>
        <w:textAlignment w:val="baseline"/>
        <w:rPr>
          <w:rStyle w:val="Fuentedeprrafopredeter1"/>
          <w:rFonts w:ascii="Noto Sans" w:hAnsi="Noto Sans" w:cs="Noto Sans"/>
          <w:bCs/>
          <w:sz w:val="22"/>
          <w:lang w:val="es-ES_tradnl"/>
        </w:rPr>
      </w:pPr>
      <w:r>
        <w:rPr>
          <w:rStyle w:val="Fuentedeprrafopredeter1"/>
          <w:rFonts w:ascii="Noto Sans" w:hAnsi="Noto Sans" w:cs="Noto Sans"/>
          <w:bCs/>
          <w:sz w:val="22"/>
          <w:lang w:val="es-ES_tradnl"/>
        </w:rPr>
        <w:t>Cronograma y fecha prevista de finalización. Distribución de las tareas entre los miembros del equipo investigador</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Debe tenerse en cuenta que la recogida de datos no puede iniciarse hasta contar con los informes y autorizaciones que sean precisos según el tipo de estudio, entre ellos, el dictamen favorable del CEI.</w:t>
      </w:r>
    </w:p>
    <w:p w:rsidR="000F23BE" w:rsidRDefault="000F23BE" w:rsidP="000F23BE">
      <w:pPr>
        <w:numPr>
          <w:ilvl w:val="1"/>
          <w:numId w:val="2"/>
        </w:numPr>
        <w:spacing w:before="120" w:after="120" w:line="240" w:lineRule="auto"/>
        <w:ind w:left="1276" w:hanging="425"/>
        <w:textAlignment w:val="baseline"/>
        <w:rPr>
          <w:rStyle w:val="Fuentedeprrafopredeter1"/>
          <w:rFonts w:ascii="Noto Sans" w:hAnsi="Noto Sans" w:cs="Noto Sans"/>
          <w:bCs/>
          <w:sz w:val="22"/>
          <w:lang w:val="es-ES_tradnl"/>
        </w:rPr>
      </w:pPr>
      <w:r>
        <w:rPr>
          <w:rStyle w:val="Fuentedeprrafopredeter1"/>
          <w:rFonts w:ascii="Noto Sans" w:hAnsi="Noto Sans" w:cs="Noto Sans"/>
          <w:bCs/>
          <w:sz w:val="22"/>
          <w:lang w:val="es-ES_tradnl"/>
        </w:rPr>
        <w:t>Plan de análisis estadístico</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Tiene que ajustarse a los objetivos propuestos y a las variables recogidas.</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Aspectos ético-legales</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 xml:space="preserve">Cumplimiento de Normas de Buena Práctica Clínica, Declaración de Helsinki, Convenio de Oviedo, LO 3/2018 de 5 de diciembre de protección de datos personales y garantía de derechos digitales, así como las normativas de manejo de historia clínica </w:t>
      </w:r>
      <w:r>
        <w:rPr>
          <w:rStyle w:val="Fuentedeprrafopredeter1"/>
          <w:rFonts w:ascii="Noto Sans" w:hAnsi="Noto Sans" w:cs="Noto Sans"/>
          <w:bCs/>
          <w:color w:val="2E74B5" w:themeColor="accent1" w:themeShade="BF"/>
          <w:sz w:val="22"/>
          <w:lang w:val="es-ES_tradnl"/>
        </w:rPr>
        <w:t>(y otra que puedan ser de aplicación según el tipo de estudio).</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De forma general, en el protocolo se ha de incluir que el equipo investigador cumplirá las normas antes mencionadas durante el desarrollo de la investigación.</w:t>
      </w:r>
    </w:p>
    <w:p w:rsidR="000F23BE" w:rsidRDefault="000F23BE" w:rsidP="000F23BE">
      <w:pPr>
        <w:numPr>
          <w:ilvl w:val="1"/>
          <w:numId w:val="2"/>
        </w:numPr>
        <w:spacing w:before="120" w:after="120" w:line="240" w:lineRule="auto"/>
        <w:ind w:left="1276" w:hanging="425"/>
        <w:textAlignment w:val="baseline"/>
        <w:rPr>
          <w:rStyle w:val="Fuentedeprrafopredeter1"/>
          <w:bCs/>
          <w:color w:val="2E74B5" w:themeColor="accent1" w:themeShade="BF"/>
          <w:lang w:val="es-ES_tradnl"/>
        </w:rPr>
      </w:pPr>
      <w:r>
        <w:rPr>
          <w:rStyle w:val="Fuentedeprrafopredeter1"/>
          <w:rFonts w:ascii="Noto Sans" w:hAnsi="Noto Sans" w:cs="Noto Sans"/>
          <w:bCs/>
          <w:sz w:val="22"/>
          <w:lang w:val="es-ES_tradnl"/>
        </w:rPr>
        <w:t xml:space="preserve">Modelos de consentimiento informado </w:t>
      </w:r>
      <w:r>
        <w:rPr>
          <w:rStyle w:val="Fuentedeprrafopredeter1"/>
          <w:rFonts w:ascii="Noto Sans" w:hAnsi="Noto Sans" w:cs="Noto Sans"/>
          <w:bCs/>
          <w:color w:val="2E74B5" w:themeColor="accent1" w:themeShade="BF"/>
          <w:sz w:val="22"/>
          <w:lang w:val="es-ES_tradnl"/>
        </w:rPr>
        <w:t xml:space="preserve">(ver los modelos disponibles en la página web del CEIm-IB: </w:t>
      </w:r>
      <w:r>
        <w:rPr>
          <w:rStyle w:val="Fuentedeprrafopredeter1"/>
          <w:rFonts w:ascii="Noto Sans" w:hAnsi="Noto Sans" w:cs="Noto Sans"/>
          <w:bCs/>
          <w:i/>
          <w:color w:val="2E74B5" w:themeColor="accent1" w:themeShade="BF"/>
          <w:sz w:val="22"/>
          <w:lang w:val="es-ES_tradnl"/>
        </w:rPr>
        <w:t>ceisalut.caib.es</w:t>
      </w:r>
      <w:r>
        <w:rPr>
          <w:rStyle w:val="Fuentedeprrafopredeter1"/>
          <w:rFonts w:ascii="Noto Sans" w:hAnsi="Noto Sans" w:cs="Noto Sans"/>
          <w:bCs/>
          <w:color w:val="2E74B5" w:themeColor="accent1" w:themeShade="BF"/>
          <w:sz w:val="22"/>
          <w:lang w:val="es-ES_tradnl"/>
        </w:rPr>
        <w:t>)</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 xml:space="preserve">Es preferible que los modelos adaptados para el estudio se aporten como anexos al protocolo. En caso de menores o pacientes incapacitados es preciso incluir las hojas de información y consentimiento informado dirigidos a los representantes legales, así como las dirigidas a los pacientes, adaptadas en lenguaje y extensión a su capacidad de comprensión (por ejemplo, versión para menores de 12 años, para 12-16 y para adultos). Los mayores de 12 años deben otorgar su consentimiento y firmarlo. Los menores de 12 años no otorgan su consentimiento, pero deben ser siempre escuchados, si tienen la madurez suficiente. Se recuerda que debe obtenerse la firma de ambos progenitores, o en caso de que solo firme uno de ellos, el que firma debe confirmar que el otro es conocedor del estudio y acepta la participación del menor. </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 xml:space="preserve">Además, debe incluirse la hoja de firma del consentimiento ante testigos para el caso en que un participante no pueda leer y/o escribir. </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lastRenderedPageBreak/>
        <w:t xml:space="preserve">Si por las características del estudio no fuera viable la obtención del consentimiento, debe justificarse en este apartado (ver modelo en la página web del CEIm-IB: </w:t>
      </w:r>
      <w:r>
        <w:rPr>
          <w:rStyle w:val="Fuentedeprrafopredeter1"/>
          <w:rFonts w:ascii="Noto Sans" w:hAnsi="Noto Sans" w:cs="Noto Sans"/>
          <w:bCs/>
          <w:i/>
          <w:color w:val="2E74B5" w:themeColor="accent1" w:themeShade="BF"/>
          <w:sz w:val="22"/>
          <w:lang w:val="es-ES_tradnl"/>
        </w:rPr>
        <w:t>ceisalut.caib.es</w:t>
      </w:r>
      <w:r>
        <w:rPr>
          <w:rStyle w:val="Fuentedeprrafopredeter1"/>
          <w:rFonts w:ascii="Noto Sans" w:hAnsi="Noto Sans" w:cs="Noto Sans"/>
          <w:bCs/>
          <w:color w:val="2E74B5" w:themeColor="accent1" w:themeShade="BF"/>
          <w:sz w:val="22"/>
          <w:lang w:val="es-ES_tradnl"/>
        </w:rPr>
        <w:t xml:space="preserve">). En el caso de estudios con datos de salud, se recuerda que su utilización con fines de investigación sin el consentimiento de los sujetos fuente ha de cumplir lo establecido en la disposición adicional 17ª de la Ley Orgánica 3/2018, de 5 de diciembre, de Protección de Datos Personales y garantía de los derechos digitales. Además, se ha de seguir el procedimiento de uso de datos en investigación establecido por la institución responsable de la información afectada. </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Confidencialidad de la información recogida en el contexto del estudio</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La privacidad debe garantizarse desde el diseño y por defecto. En orden creciente de nivel de protección, los datos pueden ser (1) codificados o seudonimizados (al sujeto se le identifica por un código, pero el propio investigador conserva el archivo que relaciona cada código con su sujeto fuente, por lo que la reidentificación es posible) o (2) anonimizados (se ha roto el vínculo con el sujeto fuente de forma irreversible).</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La anonimización siempre sería preferible, pero no siempre es posible, por ejemplo, los diseños prospectivos necesitan recoger nueva información de cada sujeto a lo largo del tiempo. Por ello, el investigador principal, o persona del equipo en quien delegue, puede conservar, de manera separada a los datos de la investigación y mientras dure el estudio, un listado adicional en el que se relacionen los códigos del paciente en el estudio y los datos identificativos para mantener la trazabilidad.</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En el protocolo se debe reflejar cómo se recogerán, custodiarán y tratarán los datos del estudio, así como las medidas que se tomarán para garantizar su seguridad, incluyendo en su caso:</w:t>
      </w:r>
    </w:p>
    <w:p w:rsidR="000F23BE" w:rsidRDefault="000F23BE" w:rsidP="000F23BE">
      <w:pPr>
        <w:pStyle w:val="Prrafodelista"/>
        <w:numPr>
          <w:ilvl w:val="0"/>
          <w:numId w:val="5"/>
        </w:numPr>
        <w:tabs>
          <w:tab w:val="left" w:pos="936"/>
        </w:tabs>
        <w:spacing w:before="120" w:after="120" w:line="240" w:lineRule="auto"/>
        <w:ind w:left="2137" w:hanging="357"/>
        <w:contextualSpacing w:val="0"/>
        <w:rPr>
          <w:rStyle w:val="Fuentedeprrafopredeter1"/>
          <w:rFonts w:ascii="Noto Sans" w:hAnsi="Noto Sans" w:cs="Noto Sans"/>
          <w:color w:val="2A6099"/>
          <w:sz w:val="22"/>
          <w:lang w:val="es-ES_tradnl"/>
        </w:rPr>
      </w:pPr>
      <w:r>
        <w:rPr>
          <w:rStyle w:val="Fuentedeprrafopredeter1"/>
          <w:rFonts w:ascii="Noto Sans" w:hAnsi="Noto Sans" w:cs="Noto Sans"/>
          <w:color w:val="2A6099"/>
          <w:sz w:val="22"/>
          <w:lang w:val="es-ES_tradnl"/>
        </w:rPr>
        <w:t>La estructura del código a usar.</w:t>
      </w:r>
    </w:p>
    <w:p w:rsidR="000F23BE" w:rsidRDefault="000F23BE" w:rsidP="000F23BE">
      <w:pPr>
        <w:pStyle w:val="Prrafodelista"/>
        <w:numPr>
          <w:ilvl w:val="0"/>
          <w:numId w:val="5"/>
        </w:numPr>
        <w:tabs>
          <w:tab w:val="left" w:pos="936"/>
        </w:tabs>
        <w:spacing w:before="120" w:after="120" w:line="240" w:lineRule="auto"/>
        <w:ind w:left="2137" w:hanging="357"/>
        <w:contextualSpacing w:val="0"/>
        <w:rPr>
          <w:rStyle w:val="Fuentedeprrafopredeter1"/>
          <w:rFonts w:ascii="Noto Sans" w:hAnsi="Noto Sans" w:cs="Noto Sans"/>
          <w:color w:val="2A6099"/>
          <w:sz w:val="22"/>
          <w:lang w:val="es-ES_tradnl"/>
        </w:rPr>
      </w:pPr>
      <w:r>
        <w:rPr>
          <w:rStyle w:val="Fuentedeprrafopredeter1"/>
          <w:rFonts w:ascii="Noto Sans" w:hAnsi="Noto Sans" w:cs="Noto Sans"/>
          <w:color w:val="2A6099"/>
          <w:sz w:val="22"/>
          <w:lang w:val="es-ES_tradnl"/>
        </w:rPr>
        <w:t>La ausencia en los cuadernos de recogida de datos o bases electrónicas de información que permita identificar directamente a los sujetos (nombre, iniciales, número de historia clínica, DNI o CIP; dado que la fecha de nacimiento completa unida a información clínica detallada puede permitir la reidentificación en muchos casos, se recomienda optar por recoger la edad o bien solo el mes y año de nacimiento, debiendo justificarse en su caso la necesidad de registrar la fecha completa de nacimiento).</w:t>
      </w:r>
    </w:p>
    <w:p w:rsidR="000F23BE" w:rsidRDefault="000F23BE" w:rsidP="000F23BE">
      <w:pPr>
        <w:pStyle w:val="Prrafodelista"/>
        <w:numPr>
          <w:ilvl w:val="0"/>
          <w:numId w:val="5"/>
        </w:numPr>
        <w:tabs>
          <w:tab w:val="left" w:pos="936"/>
        </w:tabs>
        <w:spacing w:before="120" w:after="120" w:line="240" w:lineRule="auto"/>
        <w:ind w:left="2137" w:hanging="357"/>
        <w:contextualSpacing w:val="0"/>
        <w:rPr>
          <w:rStyle w:val="Fuentedeprrafopredeter1"/>
          <w:rFonts w:ascii="Noto Sans" w:hAnsi="Noto Sans" w:cs="Noto Sans"/>
          <w:color w:val="2A6099"/>
          <w:sz w:val="22"/>
          <w:lang w:val="es-ES_tradnl"/>
        </w:rPr>
      </w:pPr>
      <w:r>
        <w:rPr>
          <w:rStyle w:val="Fuentedeprrafopredeter1"/>
          <w:rFonts w:ascii="Noto Sans" w:hAnsi="Noto Sans" w:cs="Noto Sans"/>
          <w:color w:val="2A6099"/>
          <w:sz w:val="22"/>
          <w:lang w:val="es-ES_tradnl"/>
        </w:rPr>
        <w:t>Cómo se procederá con los datos al finalizar el estudio, si se destruirán o se guardarán y durante cuánto tiempo.</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
          <w:bCs/>
          <w:color w:val="2E74B5" w:themeColor="accent1" w:themeShade="BF"/>
          <w:sz w:val="22"/>
          <w:lang w:val="es-ES_tradnl"/>
        </w:rPr>
        <w:lastRenderedPageBreak/>
        <w:t>IMPORTANTE:</w:t>
      </w:r>
      <w:r>
        <w:rPr>
          <w:rStyle w:val="Fuentedeprrafopredeter1"/>
          <w:rFonts w:ascii="Noto Sans" w:hAnsi="Noto Sans" w:cs="Noto Sans"/>
          <w:bCs/>
          <w:color w:val="2E74B5" w:themeColor="accent1" w:themeShade="BF"/>
          <w:sz w:val="22"/>
          <w:lang w:val="es-ES_tradnl"/>
        </w:rPr>
        <w:t xml:space="preserve"> Toda la información incluida en el protocolo relativa a la confidencialidad debe ser congruente con la reflejada en los documentos de información al paciente y consentimiento informado.</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Manejo de muestras biológicas conforme a la Ley 14/2007 y el Real Decreto 1716/2011</w:t>
      </w:r>
    </w:p>
    <w:p w:rsidR="000F23BE" w:rsidRDefault="000F23BE" w:rsidP="000F23BE">
      <w:pPr>
        <w:tabs>
          <w:tab w:val="left" w:pos="216"/>
        </w:tabs>
        <w:spacing w:before="120" w:after="120" w:line="240" w:lineRule="auto"/>
        <w:ind w:left="1276"/>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 xml:space="preserve">Al igual que con los datos, debe identificarse en qué estado de identificación se recogerán y tratarán las muestras (anonimizadas, </w:t>
      </w:r>
      <w:proofErr w:type="spellStart"/>
      <w:r>
        <w:rPr>
          <w:rStyle w:val="Fuentedeprrafopredeter1"/>
          <w:rFonts w:ascii="Noto Sans" w:hAnsi="Noto Sans" w:cs="Noto Sans"/>
          <w:bCs/>
          <w:color w:val="2E74B5" w:themeColor="accent1" w:themeShade="BF"/>
          <w:sz w:val="22"/>
          <w:lang w:val="es-ES_tradnl"/>
        </w:rPr>
        <w:t>seudonimizadas</w:t>
      </w:r>
      <w:proofErr w:type="spellEnd"/>
      <w:r>
        <w:rPr>
          <w:rStyle w:val="Fuentedeprrafopredeter1"/>
          <w:rFonts w:ascii="Noto Sans" w:hAnsi="Noto Sans" w:cs="Noto Sans"/>
          <w:bCs/>
          <w:color w:val="2E74B5" w:themeColor="accent1" w:themeShade="BF"/>
          <w:sz w:val="22"/>
          <w:lang w:val="es-ES_tradnl"/>
        </w:rPr>
        <w:t xml:space="preserve"> o codificadas), cómo y quién se responsabilizará de su obtención, dónde se harán los análisis previstos en el protocolo (si las muestras se envían a otros centros, será necesario identificar la institución y el responsable dentro de la misma que se encargará del buen uso y custodia del material). Es necesario describir cuál será el destino final de las muestras una vez terminado el estudio (destrucción, inclusión en una colección de muestras o inclusión en un biobanco acreditado). En estas dos últimas opciones, debe ofrecerse información al CEI sobre la colección y su responsable (las colecciones deben estar dadas de alta en el Registro Nacional del Instituto de Salud Carlos III) o los datos que identifiquen al biobanco acreditado.</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
          <w:bCs/>
          <w:color w:val="2E74B5" w:themeColor="accent1" w:themeShade="BF"/>
          <w:sz w:val="22"/>
          <w:lang w:val="es-ES_tradnl"/>
        </w:rPr>
        <w:t xml:space="preserve">IMPORTANTE: </w:t>
      </w:r>
      <w:r>
        <w:rPr>
          <w:rStyle w:val="Fuentedeprrafopredeter1"/>
          <w:rFonts w:ascii="Noto Sans" w:hAnsi="Noto Sans" w:cs="Noto Sans"/>
          <w:bCs/>
          <w:color w:val="2E74B5" w:themeColor="accent1" w:themeShade="BF"/>
          <w:sz w:val="22"/>
          <w:lang w:val="es-ES_tradnl"/>
        </w:rPr>
        <w:t>Toda la información incluida en el protocolo relativa a las muestras biológicas debe ser congruente con la reflejada en los documentos de información al paciente y consentimiento informado.</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Póliza de seguro o justificación de su ausencia para los estudios experimentales</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La normativa de investigación establece la necesidad de disponer de una póliza de responsabilidad civil para los estudios que implican intervenciones y/o procedimientos invasivos y que pueden suponer para los participantes un riesgo superior al de la práctica clínica habitual.</w:t>
      </w:r>
    </w:p>
    <w:p w:rsidR="000F23BE" w:rsidRDefault="000F23BE" w:rsidP="000F23BE">
      <w:pPr>
        <w:numPr>
          <w:ilvl w:val="1"/>
          <w:numId w:val="2"/>
        </w:numPr>
        <w:spacing w:before="120" w:after="120" w:line="240" w:lineRule="auto"/>
        <w:ind w:left="1276" w:hanging="425"/>
        <w:textAlignment w:val="baseline"/>
        <w:rPr>
          <w:rStyle w:val="Fuentedeprrafopredeter1"/>
          <w:bCs/>
          <w:lang w:val="es-ES_tradnl"/>
        </w:rPr>
      </w:pPr>
      <w:r>
        <w:rPr>
          <w:rStyle w:val="Fuentedeprrafopredeter1"/>
          <w:rFonts w:ascii="Noto Sans" w:hAnsi="Noto Sans" w:cs="Noto Sans"/>
          <w:bCs/>
          <w:sz w:val="22"/>
          <w:lang w:val="es-ES_tradnl"/>
        </w:rPr>
        <w:t>Compromiso de publicación de los resultados</w:t>
      </w:r>
    </w:p>
    <w:p w:rsidR="000F23BE" w:rsidRDefault="000F23BE" w:rsidP="000F23BE">
      <w:pPr>
        <w:tabs>
          <w:tab w:val="left" w:pos="216"/>
        </w:tabs>
        <w:spacing w:before="120" w:after="120" w:line="240" w:lineRule="auto"/>
        <w:ind w:left="1276"/>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Los investigadores deben asumir el compromiso de hacer públicos los resultados de su investigación, sean estos positivos o negativos.</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Memoria económica y fuente de financiación</w:t>
      </w:r>
    </w:p>
    <w:p w:rsidR="000F23BE" w:rsidRDefault="000F23BE" w:rsidP="000F23BE">
      <w:pPr>
        <w:tabs>
          <w:tab w:val="left" w:pos="216"/>
        </w:tabs>
        <w:spacing w:before="120" w:after="120" w:line="240" w:lineRule="auto"/>
        <w:ind w:left="709"/>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Tanto si el estudio precisa fondos para su realización como si no, se debe incluir este apartado con la información que corresponda. Debe indicarse si tiene financiación específica, bien a través de un organismo público (por ejemplo, Instituto de Salud Carlos III) o privado (entidades privadas). Debe informarse, además, de cada uno de los conceptos financiados y la cantidad destinada para cada uno de ellos, incluyendo las bonificaciones a los investigadores y, en su caso, a los sujetos participantes.</w:t>
      </w:r>
    </w:p>
    <w:p w:rsidR="000F23BE" w:rsidRDefault="000F23BE" w:rsidP="000F23BE">
      <w:pPr>
        <w:tabs>
          <w:tab w:val="left" w:pos="216"/>
        </w:tabs>
        <w:spacing w:before="120" w:after="120" w:line="240" w:lineRule="auto"/>
        <w:ind w:left="709"/>
        <w:rPr>
          <w:rStyle w:val="Fuentedeprrafopredeter1"/>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 xml:space="preserve">En el caso de existir financiación privada, es preciso recordar que para ser considerada una «Investigación clínica sin ánimo comercial» * y, por tanto, </w:t>
      </w:r>
      <w:r>
        <w:rPr>
          <w:rStyle w:val="Fuentedeprrafopredeter1"/>
          <w:rFonts w:ascii="Noto Sans" w:hAnsi="Noto Sans" w:cs="Noto Sans"/>
          <w:bCs/>
          <w:color w:val="2E74B5" w:themeColor="accent1" w:themeShade="BF"/>
          <w:sz w:val="22"/>
          <w:lang w:val="es-ES_tradnl"/>
        </w:rPr>
        <w:lastRenderedPageBreak/>
        <w:t>estar exenta del pago de tasas por evaluación, deberán cumplirse las siguientes condiciones:</w:t>
      </w:r>
    </w:p>
    <w:p w:rsidR="000F23BE" w:rsidRDefault="000F23BE" w:rsidP="000F23BE">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es-ES_tradnl"/>
        </w:rPr>
      </w:pPr>
      <w:r>
        <w:rPr>
          <w:rStyle w:val="Fuentedeprrafopredeter1"/>
          <w:rFonts w:ascii="Noto Sans" w:hAnsi="Noto Sans" w:cs="Noto Sans"/>
          <w:color w:val="2E74B5" w:themeColor="accent1" w:themeShade="BF"/>
          <w:sz w:val="22"/>
          <w:lang w:val="es-ES_tradnl"/>
        </w:rPr>
        <w:t>El promotor es una universidad, hospital, organización científica pública, organización sin ánimo de lucro, organización de pacientes o investigador individual.</w:t>
      </w:r>
    </w:p>
    <w:p w:rsidR="000F23BE" w:rsidRDefault="000F23BE" w:rsidP="000F23BE">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es-ES_tradnl"/>
        </w:rPr>
      </w:pPr>
      <w:r>
        <w:rPr>
          <w:rStyle w:val="Fuentedeprrafopredeter1"/>
          <w:rFonts w:ascii="Noto Sans" w:hAnsi="Noto Sans" w:cs="Noto Sans"/>
          <w:color w:val="2E74B5" w:themeColor="accent1" w:themeShade="BF"/>
          <w:sz w:val="22"/>
          <w:lang w:val="es-ES_tradnl"/>
        </w:rPr>
        <w:t>La propiedad de los datos de la investigación pertenece al promotor desde el primer momento del estudio.</w:t>
      </w:r>
    </w:p>
    <w:p w:rsidR="000F23BE" w:rsidRDefault="000F23BE" w:rsidP="000F23BE">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es-ES_tradnl"/>
        </w:rPr>
      </w:pPr>
      <w:r>
        <w:rPr>
          <w:rStyle w:val="Fuentedeprrafopredeter1"/>
          <w:rFonts w:ascii="Noto Sans" w:hAnsi="Noto Sans" w:cs="Noto Sans"/>
          <w:color w:val="2E74B5" w:themeColor="accent1" w:themeShade="BF"/>
          <w:sz w:val="22"/>
          <w:lang w:val="es-ES_tradnl"/>
        </w:rPr>
        <w:t>No hay acuerdos entre el promotor y terceras partes que permitan el empleo de los datos para usos regulatorios o que generen una propiedad industrial.</w:t>
      </w:r>
    </w:p>
    <w:p w:rsidR="000F23BE" w:rsidRDefault="000F23BE" w:rsidP="000F23BE">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es-ES_tradnl"/>
        </w:rPr>
      </w:pPr>
      <w:r>
        <w:rPr>
          <w:rStyle w:val="Fuentedeprrafopredeter1"/>
          <w:rFonts w:ascii="Noto Sans" w:hAnsi="Noto Sans" w:cs="Noto Sans"/>
          <w:color w:val="2E74B5" w:themeColor="accent1" w:themeShade="BF"/>
          <w:sz w:val="22"/>
          <w:lang w:val="es-ES_tradnl"/>
        </w:rPr>
        <w:t>El diseño, la realización, el reclutamiento, la recogida de datos y la comunicación de resultados de la investigación se mantienen bajo el control del promotor.</w:t>
      </w:r>
    </w:p>
    <w:p w:rsidR="000F23BE" w:rsidRDefault="000F23BE" w:rsidP="000F23BE">
      <w:pPr>
        <w:pStyle w:val="Prrafodelista"/>
        <w:numPr>
          <w:ilvl w:val="0"/>
          <w:numId w:val="5"/>
        </w:numPr>
        <w:tabs>
          <w:tab w:val="left" w:pos="936"/>
        </w:tabs>
        <w:spacing w:before="120" w:after="120" w:line="240" w:lineRule="auto"/>
        <w:ind w:left="1418" w:hanging="357"/>
        <w:contextualSpacing w:val="0"/>
        <w:rPr>
          <w:rStyle w:val="Fuentedeprrafopredeter1"/>
          <w:rFonts w:ascii="Noto Sans" w:hAnsi="Noto Sans" w:cs="Noto Sans"/>
          <w:color w:val="2E74B5" w:themeColor="accent1" w:themeShade="BF"/>
          <w:sz w:val="22"/>
          <w:lang w:val="es-ES_tradnl"/>
        </w:rPr>
      </w:pPr>
      <w:r>
        <w:rPr>
          <w:rStyle w:val="Fuentedeprrafopredeter1"/>
          <w:rFonts w:ascii="Noto Sans" w:hAnsi="Noto Sans" w:cs="Noto Sans"/>
          <w:color w:val="2E74B5" w:themeColor="accent1" w:themeShade="BF"/>
          <w:sz w:val="22"/>
          <w:lang w:val="es-ES_tradnl"/>
        </w:rPr>
        <w:t>Por sus características, estos estudios no pueden formar parte de un programa de desarrollo para una autorización de comercialización de un producto.</w:t>
      </w:r>
    </w:p>
    <w:p w:rsidR="000F23BE" w:rsidRDefault="000F23BE" w:rsidP="000F23BE">
      <w:pPr>
        <w:tabs>
          <w:tab w:val="left" w:pos="216"/>
        </w:tabs>
        <w:spacing w:before="120" w:after="120" w:line="240" w:lineRule="auto"/>
        <w:ind w:left="709"/>
        <w:rPr>
          <w:rStyle w:val="Fuentedeprrafopredeter1"/>
          <w:bCs/>
          <w:i/>
          <w:color w:val="2E74B5" w:themeColor="accent1" w:themeShade="BF"/>
          <w:sz w:val="20"/>
          <w:lang w:val="es-ES_tradnl"/>
        </w:rPr>
      </w:pPr>
      <w:r>
        <w:rPr>
          <w:rStyle w:val="Fuentedeprrafopredeter1"/>
          <w:rFonts w:ascii="Noto Sans" w:hAnsi="Noto Sans" w:cs="Noto Sans"/>
          <w:bCs/>
          <w:i/>
          <w:color w:val="2E74B5" w:themeColor="accent1" w:themeShade="BF"/>
          <w:sz w:val="18"/>
          <w:lang w:val="es-ES_tradnl"/>
        </w:rPr>
        <w:t>*Art. 2.2 del Real Decreto 1090/2015, de 4 de diciembre, por el que se regulan los ensayos clínicos con medicamentos, los comités de ética de la investigación con medicamentos y el Registro Español de Estudios Clínicos, y art. 2.2 del Real Decreto 957/2020, de 3 de noviembre, por el que se regulan los estudios observacionales con medicamentos de uso humano.</w:t>
      </w:r>
    </w:p>
    <w:p w:rsidR="000F23BE" w:rsidRDefault="000F23BE" w:rsidP="000F23BE">
      <w:pPr>
        <w:numPr>
          <w:ilvl w:val="0"/>
          <w:numId w:val="2"/>
        </w:numPr>
        <w:tabs>
          <w:tab w:val="clear" w:pos="226"/>
          <w:tab w:val="left" w:pos="216"/>
        </w:tabs>
        <w:spacing w:before="120" w:after="120" w:line="240" w:lineRule="auto"/>
        <w:ind w:left="215" w:firstLine="0"/>
        <w:textAlignment w:val="baseline"/>
        <w:rPr>
          <w:rStyle w:val="Fuentedeprrafopredeter1"/>
          <w:b/>
          <w:bCs/>
          <w:lang w:val="es-ES_tradnl"/>
        </w:rPr>
      </w:pPr>
      <w:r>
        <w:rPr>
          <w:rStyle w:val="Fuentedeprrafopredeter1"/>
          <w:rFonts w:ascii="Noto Sans" w:hAnsi="Noto Sans" w:cs="Noto Sans"/>
          <w:b/>
          <w:bCs/>
          <w:sz w:val="22"/>
          <w:lang w:val="es-ES_tradnl"/>
        </w:rPr>
        <w:t xml:space="preserve">Cuaderno de recogida de datos </w:t>
      </w:r>
    </w:p>
    <w:p w:rsidR="000F23BE" w:rsidRDefault="000F23BE" w:rsidP="000F23BE">
      <w:pPr>
        <w:tabs>
          <w:tab w:val="left" w:pos="216"/>
        </w:tabs>
        <w:spacing w:before="120" w:after="120" w:line="240" w:lineRule="auto"/>
        <w:ind w:left="709"/>
        <w:rPr>
          <w:rStyle w:val="Fuentedeprrafopredeter1"/>
          <w:bCs/>
          <w:color w:val="2E74B5" w:themeColor="accent1" w:themeShade="BF"/>
          <w:lang w:val="es-ES_tradnl"/>
        </w:rPr>
      </w:pPr>
      <w:r>
        <w:rPr>
          <w:rStyle w:val="Fuentedeprrafopredeter1"/>
          <w:rFonts w:ascii="Noto Sans" w:hAnsi="Noto Sans" w:cs="Noto Sans"/>
          <w:bCs/>
          <w:color w:val="2E74B5" w:themeColor="accent1" w:themeShade="BF"/>
          <w:sz w:val="22"/>
          <w:lang w:val="es-ES_tradnl"/>
        </w:rPr>
        <w:t xml:space="preserve">En este documento se detallan las variables que se recogerán para llevar a cabo el estudio. Se recuerda que no deben recogerse variables que permitan la reidentificación de los participantes, reiterando la recomendación de recoger la fecha de nacimiento en formato mes/año o la edad. </w:t>
      </w:r>
    </w:p>
    <w:p w:rsidR="007C5D16" w:rsidRPr="000F23BE" w:rsidRDefault="000F23BE" w:rsidP="000F23BE">
      <w:pPr>
        <w:tabs>
          <w:tab w:val="left" w:pos="216"/>
        </w:tabs>
        <w:spacing w:before="120" w:after="120" w:line="240" w:lineRule="auto"/>
        <w:ind w:left="709"/>
        <w:rPr>
          <w:rFonts w:ascii="Noto Sans" w:hAnsi="Noto Sans" w:cs="Noto Sans"/>
          <w:bCs/>
          <w:color w:val="2E74B5" w:themeColor="accent1" w:themeShade="BF"/>
          <w:sz w:val="22"/>
          <w:lang w:val="es-ES_tradnl"/>
        </w:rPr>
      </w:pPr>
      <w:r>
        <w:rPr>
          <w:rStyle w:val="Fuentedeprrafopredeter1"/>
          <w:rFonts w:ascii="Noto Sans" w:hAnsi="Noto Sans" w:cs="Noto Sans"/>
          <w:bCs/>
          <w:color w:val="2E74B5" w:themeColor="accent1" w:themeShade="BF"/>
          <w:sz w:val="22"/>
          <w:lang w:val="es-ES_tradnl"/>
        </w:rPr>
        <w:t>Es preferible aportarlo como documento anexo al protocolo.</w:t>
      </w:r>
    </w:p>
    <w:sectPr w:rsidR="007C5D16" w:rsidRPr="000F23B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3C4DCE"/>
    <w:multiLevelType w:val="multilevel"/>
    <w:tmpl w:val="60F87EDA"/>
    <w:lvl w:ilvl="0">
      <w:start w:val="1"/>
      <w:numFmt w:val="bullet"/>
      <w:lvlText w:val=""/>
      <w:lvlJc w:val="left"/>
      <w:pPr>
        <w:tabs>
          <w:tab w:val="num" w:pos="720"/>
        </w:tabs>
        <w:ind w:left="720" w:hanging="360"/>
      </w:pPr>
      <w:rPr>
        <w:rFonts w:ascii="Symbol" w:hAnsi="Symbol" w:cs="Symbol" w:hint="default"/>
        <w:strike w:val="0"/>
        <w:dstrike w:val="0"/>
        <w:sz w:val="21"/>
        <w:szCs w:val="21"/>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strike w:val="0"/>
        <w:dstrike w:val="0"/>
        <w:sz w:val="21"/>
        <w:szCs w:val="21"/>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strike w:val="0"/>
        <w:dstrike w:val="0"/>
        <w:sz w:val="21"/>
        <w:szCs w:val="21"/>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15:restartNumberingAfterBreak="0">
    <w:nsid w:val="45116E03"/>
    <w:multiLevelType w:val="multilevel"/>
    <w:tmpl w:val="63F40FEA"/>
    <w:lvl w:ilvl="0">
      <w:start w:val="1"/>
      <w:numFmt w:val="bullet"/>
      <w:lvlText w:val=""/>
      <w:lvlJc w:val="left"/>
      <w:pPr>
        <w:tabs>
          <w:tab w:val="num" w:pos="720"/>
        </w:tabs>
        <w:ind w:left="720" w:hanging="360"/>
      </w:pPr>
      <w:rPr>
        <w:rFonts w:ascii="Symbol" w:hAnsi="Symbol" w:cs="Symbol" w:hint="default"/>
        <w:color w:val="000000"/>
        <w:kern w:val="2"/>
        <w:sz w:val="21"/>
        <w:szCs w:val="21"/>
        <w:lang w:val="gl-ES" w:eastAsia="zh-CN" w:bidi="hi-IN"/>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color w:val="000000"/>
        <w:kern w:val="2"/>
        <w:sz w:val="21"/>
        <w:szCs w:val="21"/>
        <w:lang w:val="gl-ES" w:eastAsia="zh-CN" w:bidi="hi-IN"/>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color w:val="000000"/>
        <w:kern w:val="2"/>
        <w:sz w:val="21"/>
        <w:szCs w:val="21"/>
        <w:lang w:val="gl-ES" w:eastAsia="zh-CN" w:bidi="hi-IN"/>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15:restartNumberingAfterBreak="0">
    <w:nsid w:val="5FD23531"/>
    <w:multiLevelType w:val="multilevel"/>
    <w:tmpl w:val="A282084C"/>
    <w:lvl w:ilvl="0">
      <w:start w:val="1"/>
      <w:numFmt w:val="bullet"/>
      <w:lvlText w:val=""/>
      <w:lvlJc w:val="left"/>
      <w:pPr>
        <w:tabs>
          <w:tab w:val="num" w:pos="936"/>
        </w:tabs>
        <w:ind w:left="936" w:hanging="360"/>
      </w:pPr>
      <w:rPr>
        <w:rFonts w:ascii="Symbol" w:hAnsi="Symbol" w:cs="Symbol" w:hint="default"/>
        <w:kern w:val="2"/>
        <w:sz w:val="21"/>
        <w:szCs w:val="21"/>
        <w:lang w:val="es-ES" w:eastAsia="zh-CN" w:bidi="hi-IN"/>
      </w:rPr>
    </w:lvl>
    <w:lvl w:ilvl="1">
      <w:start w:val="1"/>
      <w:numFmt w:val="bullet"/>
      <w:lvlText w:val=""/>
      <w:lvlJc w:val="left"/>
      <w:pPr>
        <w:tabs>
          <w:tab w:val="num" w:pos="1296"/>
        </w:tabs>
        <w:ind w:left="1296" w:hanging="360"/>
      </w:pPr>
      <w:rPr>
        <w:rFonts w:ascii="Symbol" w:hAnsi="Symbol" w:cs="Symbol" w:hint="default"/>
        <w:kern w:val="2"/>
        <w:sz w:val="21"/>
        <w:szCs w:val="21"/>
        <w:lang w:val="es-ES" w:eastAsia="zh-CN" w:bidi="hi-IN"/>
      </w:rPr>
    </w:lvl>
    <w:lvl w:ilvl="2">
      <w:start w:val="1"/>
      <w:numFmt w:val="bullet"/>
      <w:lvlText w:val=""/>
      <w:lvlJc w:val="left"/>
      <w:pPr>
        <w:tabs>
          <w:tab w:val="num" w:pos="1656"/>
        </w:tabs>
        <w:ind w:left="1656" w:hanging="360"/>
      </w:pPr>
      <w:rPr>
        <w:rFonts w:ascii="Symbol" w:hAnsi="Symbol" w:cs="Symbol" w:hint="default"/>
        <w:kern w:val="2"/>
        <w:sz w:val="21"/>
        <w:szCs w:val="21"/>
        <w:lang w:val="es-ES" w:eastAsia="zh-CN" w:bidi="hi-IN"/>
      </w:rPr>
    </w:lvl>
    <w:lvl w:ilvl="3">
      <w:start w:val="1"/>
      <w:numFmt w:val="bullet"/>
      <w:lvlText w:val=""/>
      <w:lvlJc w:val="left"/>
      <w:pPr>
        <w:tabs>
          <w:tab w:val="num" w:pos="2016"/>
        </w:tabs>
        <w:ind w:left="2016" w:hanging="360"/>
      </w:pPr>
      <w:rPr>
        <w:rFonts w:ascii="Symbol" w:hAnsi="Symbol" w:cs="Symbol" w:hint="default"/>
        <w:kern w:val="2"/>
        <w:sz w:val="21"/>
        <w:szCs w:val="21"/>
        <w:lang w:val="es-ES" w:eastAsia="zh-CN" w:bidi="hi-IN"/>
      </w:rPr>
    </w:lvl>
    <w:lvl w:ilvl="4">
      <w:start w:val="1"/>
      <w:numFmt w:val="bullet"/>
      <w:lvlText w:val=""/>
      <w:lvlJc w:val="left"/>
      <w:pPr>
        <w:tabs>
          <w:tab w:val="num" w:pos="2376"/>
        </w:tabs>
        <w:ind w:left="2376" w:hanging="360"/>
      </w:pPr>
      <w:rPr>
        <w:rFonts w:ascii="Symbol" w:hAnsi="Symbol" w:cs="Symbol" w:hint="default"/>
        <w:kern w:val="2"/>
        <w:sz w:val="21"/>
        <w:szCs w:val="21"/>
        <w:lang w:val="es-ES" w:eastAsia="zh-CN" w:bidi="hi-IN"/>
      </w:rPr>
    </w:lvl>
    <w:lvl w:ilvl="5">
      <w:start w:val="1"/>
      <w:numFmt w:val="bullet"/>
      <w:lvlText w:val=""/>
      <w:lvlJc w:val="left"/>
      <w:pPr>
        <w:tabs>
          <w:tab w:val="num" w:pos="2736"/>
        </w:tabs>
        <w:ind w:left="2736" w:hanging="360"/>
      </w:pPr>
      <w:rPr>
        <w:rFonts w:ascii="Symbol" w:hAnsi="Symbol" w:cs="Symbol" w:hint="default"/>
        <w:color w:val="auto"/>
        <w:kern w:val="2"/>
        <w:sz w:val="22"/>
        <w:szCs w:val="22"/>
        <w:lang w:val="es-ES" w:eastAsia="zh-CN" w:bidi="hi-IN"/>
      </w:rPr>
    </w:lvl>
    <w:lvl w:ilvl="6">
      <w:start w:val="1"/>
      <w:numFmt w:val="bullet"/>
      <w:lvlText w:val=""/>
      <w:lvlJc w:val="left"/>
      <w:pPr>
        <w:tabs>
          <w:tab w:val="num" w:pos="3096"/>
        </w:tabs>
        <w:ind w:left="3096" w:hanging="360"/>
      </w:pPr>
      <w:rPr>
        <w:rFonts w:ascii="Symbol" w:hAnsi="Symbol" w:cs="Symbol" w:hint="default"/>
        <w:kern w:val="2"/>
        <w:sz w:val="21"/>
        <w:szCs w:val="21"/>
        <w:lang w:val="es-ES" w:eastAsia="zh-CN" w:bidi="hi-IN"/>
      </w:rPr>
    </w:lvl>
    <w:lvl w:ilvl="7">
      <w:start w:val="1"/>
      <w:numFmt w:val="bullet"/>
      <w:lvlText w:val=""/>
      <w:lvlJc w:val="left"/>
      <w:pPr>
        <w:tabs>
          <w:tab w:val="num" w:pos="3456"/>
        </w:tabs>
        <w:ind w:left="3456" w:hanging="360"/>
      </w:pPr>
      <w:rPr>
        <w:rFonts w:ascii="Symbol" w:hAnsi="Symbol" w:cs="Symbol" w:hint="default"/>
        <w:kern w:val="2"/>
        <w:sz w:val="21"/>
        <w:szCs w:val="21"/>
        <w:lang w:val="es-ES" w:eastAsia="zh-CN" w:bidi="hi-IN"/>
      </w:rPr>
    </w:lvl>
    <w:lvl w:ilvl="8">
      <w:start w:val="1"/>
      <w:numFmt w:val="bullet"/>
      <w:lvlText w:val=""/>
      <w:lvlJc w:val="left"/>
      <w:pPr>
        <w:tabs>
          <w:tab w:val="num" w:pos="3816"/>
        </w:tabs>
        <w:ind w:left="3816" w:hanging="360"/>
      </w:pPr>
      <w:rPr>
        <w:rFonts w:ascii="Symbol" w:hAnsi="Symbol" w:cs="Symbol" w:hint="default"/>
        <w:kern w:val="2"/>
        <w:sz w:val="21"/>
        <w:szCs w:val="21"/>
        <w:lang w:val="es-ES" w:eastAsia="zh-CN" w:bidi="hi-IN"/>
      </w:rPr>
    </w:lvl>
  </w:abstractNum>
  <w:abstractNum w:abstractNumId="3" w15:restartNumberingAfterBreak="0">
    <w:nsid w:val="68F42F7B"/>
    <w:multiLevelType w:val="multilevel"/>
    <w:tmpl w:val="6C928364"/>
    <w:lvl w:ilvl="0">
      <w:start w:val="1"/>
      <w:numFmt w:val="bullet"/>
      <w:lvlText w:val=""/>
      <w:lvlJc w:val="left"/>
      <w:pPr>
        <w:tabs>
          <w:tab w:val="num" w:pos="0"/>
        </w:tabs>
        <w:ind w:left="2138"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6D5E7453"/>
    <w:multiLevelType w:val="multilevel"/>
    <w:tmpl w:val="AC38917C"/>
    <w:lvl w:ilvl="0">
      <w:start w:val="1"/>
      <w:numFmt w:val="decimal"/>
      <w:lvlText w:val="%1."/>
      <w:lvlJc w:val="left"/>
      <w:pPr>
        <w:tabs>
          <w:tab w:val="num" w:pos="226"/>
        </w:tabs>
        <w:ind w:left="502" w:hanging="360"/>
      </w:pPr>
      <w:rPr>
        <w:rFonts w:ascii="Noto Sans" w:hAnsi="Noto Sans" w:cs="Noto Sans"/>
        <w:b/>
        <w:bCs/>
        <w:color w:val="auto"/>
        <w:sz w:val="22"/>
        <w:szCs w:val="22"/>
      </w:rPr>
    </w:lvl>
    <w:lvl w:ilvl="1">
      <w:start w:val="1"/>
      <w:numFmt w:val="decimal"/>
      <w:lvlText w:val="%1.%2"/>
      <w:lvlJc w:val="left"/>
      <w:pPr>
        <w:tabs>
          <w:tab w:val="num" w:pos="767"/>
        </w:tabs>
        <w:ind w:left="1211" w:hanging="360"/>
      </w:pPr>
      <w:rPr>
        <w:rFonts w:ascii="Noto Sans" w:hAnsi="Noto Sans" w:cs="Noto Sans"/>
        <w:bCs/>
        <w:i w:val="0"/>
        <w:color w:val="000000"/>
        <w:sz w:val="22"/>
        <w:szCs w:val="22"/>
      </w:rPr>
    </w:lvl>
    <w:lvl w:ilvl="2">
      <w:start w:val="1"/>
      <w:numFmt w:val="bullet"/>
      <w:lvlText w:val=""/>
      <w:lvlJc w:val="left"/>
      <w:pPr>
        <w:tabs>
          <w:tab w:val="num" w:pos="0"/>
        </w:tabs>
        <w:ind w:left="1164" w:hanging="360"/>
      </w:pPr>
      <w:rPr>
        <w:rFonts w:ascii="Symbol" w:hAnsi="Symbol" w:cs="Symbol" w:hint="default"/>
        <w:color w:val="2A6099"/>
        <w:sz w:val="21"/>
        <w:szCs w:val="21"/>
      </w:rPr>
    </w:lvl>
    <w:lvl w:ilvl="3">
      <w:start w:val="1"/>
      <w:numFmt w:val="decimal"/>
      <w:lvlText w:val="%1.%2.%3.%4"/>
      <w:lvlJc w:val="left"/>
      <w:pPr>
        <w:tabs>
          <w:tab w:val="num" w:pos="0"/>
        </w:tabs>
        <w:ind w:left="1884" w:hanging="360"/>
      </w:pPr>
    </w:lvl>
    <w:lvl w:ilvl="4">
      <w:start w:val="1"/>
      <w:numFmt w:val="decimal"/>
      <w:lvlText w:val="%1.%2.%3.%4.%5"/>
      <w:lvlJc w:val="left"/>
      <w:pPr>
        <w:tabs>
          <w:tab w:val="num" w:pos="0"/>
        </w:tabs>
        <w:ind w:left="2604" w:hanging="360"/>
      </w:pPr>
    </w:lvl>
    <w:lvl w:ilvl="5">
      <w:start w:val="1"/>
      <w:numFmt w:val="decimal"/>
      <w:lvlText w:val="%1.%2.%3.%4.%5.%6"/>
      <w:lvlJc w:val="left"/>
      <w:pPr>
        <w:tabs>
          <w:tab w:val="num" w:pos="0"/>
        </w:tabs>
        <w:ind w:left="3324" w:hanging="360"/>
      </w:pPr>
    </w:lvl>
    <w:lvl w:ilvl="6">
      <w:start w:val="1"/>
      <w:numFmt w:val="decimal"/>
      <w:lvlText w:val="%1.%2.%3.%4.%5.%6.%7"/>
      <w:lvlJc w:val="left"/>
      <w:pPr>
        <w:tabs>
          <w:tab w:val="num" w:pos="0"/>
        </w:tabs>
        <w:ind w:left="4044" w:hanging="360"/>
      </w:pPr>
    </w:lvl>
    <w:lvl w:ilvl="7">
      <w:start w:val="1"/>
      <w:numFmt w:val="decimal"/>
      <w:lvlText w:val="%1.%2.%3.%4.%5.%6.%7.%8"/>
      <w:lvlJc w:val="left"/>
      <w:pPr>
        <w:tabs>
          <w:tab w:val="num" w:pos="0"/>
        </w:tabs>
        <w:ind w:left="4764" w:hanging="360"/>
      </w:pPr>
    </w:lvl>
    <w:lvl w:ilvl="8">
      <w:start w:val="1"/>
      <w:numFmt w:val="decimal"/>
      <w:lvlText w:val="%1.%2.%3.%4.%5.%6.%7.%8.%9"/>
      <w:lvlJc w:val="left"/>
      <w:pPr>
        <w:tabs>
          <w:tab w:val="num" w:pos="0"/>
        </w:tabs>
        <w:ind w:left="5484" w:hanging="360"/>
      </w:p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23BE"/>
    <w:rsid w:val="000F23BE"/>
    <w:rsid w:val="007743C0"/>
    <w:rsid w:val="007C5D16"/>
    <w:rsid w:val="00EC74F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B401C5-A081-4EF6-B6A7-6B2B1BC26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3BE"/>
    <w:pPr>
      <w:suppressAutoHyphens/>
      <w:spacing w:after="200" w:line="276" w:lineRule="auto"/>
    </w:pPr>
    <w:rPr>
      <w:rFonts w:asciiTheme="majorHAnsi" w:eastAsiaTheme="minorEastAsia" w:hAnsiTheme="majorHAnsi"/>
      <w:sz w:val="24"/>
    </w:rPr>
  </w:style>
  <w:style w:type="paragraph" w:styleId="Ttulo2">
    <w:name w:val="heading 2"/>
    <w:next w:val="Normal"/>
    <w:link w:val="Ttulo2Car"/>
    <w:uiPriority w:val="9"/>
    <w:unhideWhenUsed/>
    <w:qFormat/>
    <w:rsid w:val="000F23BE"/>
    <w:pPr>
      <w:keepNext/>
      <w:keepLines/>
      <w:suppressAutoHyphens/>
      <w:spacing w:before="200" w:after="240" w:line="276" w:lineRule="auto"/>
      <w:jc w:val="center"/>
      <w:outlineLvl w:val="1"/>
    </w:pPr>
    <w:rPr>
      <w:rFonts w:ascii="Noto Sans" w:eastAsiaTheme="majorEastAsia" w:hAnsi="Noto Sans" w:cstheme="majorBidi"/>
      <w:b/>
      <w:bCs/>
      <w:color w:val="2E74B5" w:themeColor="accent1" w:themeShade="BF"/>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qFormat/>
    <w:rsid w:val="000F23BE"/>
    <w:rPr>
      <w:rFonts w:ascii="Noto Sans" w:eastAsiaTheme="majorEastAsia" w:hAnsi="Noto Sans" w:cstheme="majorBidi"/>
      <w:b/>
      <w:bCs/>
      <w:color w:val="2E74B5" w:themeColor="accent1" w:themeShade="BF"/>
      <w:szCs w:val="26"/>
    </w:rPr>
  </w:style>
  <w:style w:type="character" w:customStyle="1" w:styleId="EnlladInternet">
    <w:name w:val="Enllaç d'Internet"/>
    <w:basedOn w:val="Fuentedeprrafopredeter"/>
    <w:uiPriority w:val="99"/>
    <w:unhideWhenUsed/>
    <w:rsid w:val="000F23BE"/>
    <w:rPr>
      <w:color w:val="0000FF"/>
      <w:u w:val="single"/>
    </w:rPr>
  </w:style>
  <w:style w:type="character" w:customStyle="1" w:styleId="Fuentedeprrafopredeter1">
    <w:name w:val="Fuente de párrafo predeter.1"/>
    <w:qFormat/>
    <w:rsid w:val="000F23BE"/>
  </w:style>
  <w:style w:type="paragraph" w:styleId="Prrafodelista">
    <w:name w:val="List Paragraph"/>
    <w:basedOn w:val="Normal"/>
    <w:uiPriority w:val="34"/>
    <w:qFormat/>
    <w:rsid w:val="000F23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12" Type="http://schemas.openxmlformats.org/officeDocument/2006/relationships/customXml" Target="../customXml/item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oe.es/boe/dias/2020/11/26/pdfs/BOE-A-2020-14960.pdf" TargetMode="External"/><Relationship Id="rId11" Type="http://schemas.openxmlformats.org/officeDocument/2006/relationships/customXml" Target="../customXml/item3.xml"/><Relationship Id="rId5" Type="http://schemas.openxmlformats.org/officeDocument/2006/relationships/hyperlink" Target="https://eur-lex.europa.eu/legal-content/ES/TXT/PDF/?uri=CELEX:02014R0536-20140527&amp;qid=1632296237777&amp;from=ES" TargetMode="Externa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6BCC02C521A849B0D3CD42236D8464" ma:contentTypeVersion="12" ma:contentTypeDescription="Crea un document nou" ma:contentTypeScope="" ma:versionID="bb4a769b07852abb5d02287a61fb5395">
  <xsd:schema xmlns:xsd="http://www.w3.org/2001/XMLSchema" xmlns:xs="http://www.w3.org/2001/XMLSchema" xmlns:p="http://schemas.microsoft.com/office/2006/metadata/properties" xmlns:ns2="6e58257c-42e2-4c7c-9e10-712e03bf7e7f" xmlns:ns3="15899dbf-6fb0-4cea-bf6b-d1730cb1d704" targetNamespace="http://schemas.microsoft.com/office/2006/metadata/properties" ma:root="true" ma:fieldsID="fb0997b99a3d5b0c45dbf62a7faa725d" ns2:_="" ns3:_="">
    <xsd:import namespace="6e58257c-42e2-4c7c-9e10-712e03bf7e7f"/>
    <xsd:import namespace="15899dbf-6fb0-4cea-bf6b-d1730cb1d70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Location"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58257c-42e2-4c7c-9e10-712e03bf7e7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f0e23156-f4dd-477a-873b-d2818654ed44}" ma:internalName="TaxCatchAll" ma:showField="CatchAllData" ma:web="6e58257c-42e2-4c7c-9e10-712e03bf7e7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5899dbf-6fb0-4cea-bf6b-d1730cb1d70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6e58257c-42e2-4c7c-9e10-712e03bf7e7f" xsi:nil="true"/>
    <lcf76f155ced4ddcb4097134ff3c332f xmlns="15899dbf-6fb0-4cea-bf6b-d1730cb1d704">
      <Terms xmlns="http://schemas.microsoft.com/office/infopath/2007/PartnerControls"/>
    </lcf76f155ced4ddcb4097134ff3c332f>
    <_dlc_DocId xmlns="6e58257c-42e2-4c7c-9e10-712e03bf7e7f">A24RK54CKEU4-631955418-95301</_dlc_DocId>
    <_dlc_DocIdUrl xmlns="6e58257c-42e2-4c7c-9e10-712e03bf7e7f">
      <Url>https://caib.sharepoint.com/sites/ARXIUS-PORTALSALUT/_layouts/15/DocIdRedir.aspx?ID=A24RK54CKEU4-631955418-95301</Url>
      <Description>A24RK54CKEU4-631955418-95301</Description>
    </_dlc_DocIdUrl>
  </documentManagement>
</p:properties>
</file>

<file path=customXml/itemProps1.xml><?xml version="1.0" encoding="utf-8"?>
<ds:datastoreItem xmlns:ds="http://schemas.openxmlformats.org/officeDocument/2006/customXml" ds:itemID="{1569ABC4-798A-415D-A3DE-7074C4C9B8C1}"/>
</file>

<file path=customXml/itemProps2.xml><?xml version="1.0" encoding="utf-8"?>
<ds:datastoreItem xmlns:ds="http://schemas.openxmlformats.org/officeDocument/2006/customXml" ds:itemID="{2799964B-0980-4B12-8803-DDBCD7603829}"/>
</file>

<file path=customXml/itemProps3.xml><?xml version="1.0" encoding="utf-8"?>
<ds:datastoreItem xmlns:ds="http://schemas.openxmlformats.org/officeDocument/2006/customXml" ds:itemID="{7CE93FE4-4598-49CC-B61E-F3B5ADBCCC0D}"/>
</file>

<file path=customXml/itemProps4.xml><?xml version="1.0" encoding="utf-8"?>
<ds:datastoreItem xmlns:ds="http://schemas.openxmlformats.org/officeDocument/2006/customXml" ds:itemID="{E2BCBF7E-F021-40FE-B3BA-323A1B1481F8}"/>
</file>

<file path=docProps/app.xml><?xml version="1.0" encoding="utf-8"?>
<Properties xmlns="http://schemas.openxmlformats.org/officeDocument/2006/extended-properties" xmlns:vt="http://schemas.openxmlformats.org/officeDocument/2006/docPropsVTypes">
  <Template>Normal</Template>
  <TotalTime>1</TotalTime>
  <Pages>8</Pages>
  <Words>2520</Words>
  <Characters>13866</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Maria Cifre Gual</dc:creator>
  <cp:keywords/>
  <dc:description/>
  <cp:lastModifiedBy>Lourdes De La Vega Llompart</cp:lastModifiedBy>
  <cp:revision>2</cp:revision>
  <dcterms:created xsi:type="dcterms:W3CDTF">2023-11-09T10:22:00Z</dcterms:created>
  <dcterms:modified xsi:type="dcterms:W3CDTF">2023-11-09T10:22:00Z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0x010100F26BCC02C521A849B0D3CD42236D8464</vt:lpwstr>
  </property>
  <property fmtid="{D5CDD505-2E9C-101B-9397-08002B2CF9AE}" pid="3" name="_dlc_DocIdItemGuid">
    <vt:lpwstr>84f21538-2755-47ef-be0b-a7e2dd6ecc7c</vt:lpwstr>
  </property>
  <property fmtid="{D5CDD505-2E9C-101B-9397-08002B2CF9AE}" pid="4" name="MediaServiceImageTags">
    <vt:lpwstr/>
  </property>
</Properties>
</file>